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BBC6" w14:textId="0E3C05A7" w:rsidR="00DD0C72" w:rsidRDefault="00DD0C72" w:rsidP="00DD0C72">
      <w:pPr>
        <w:pStyle w:val="Textkrper"/>
        <w:jc w:val="left"/>
        <w:rPr>
          <w:lang w:val="ru-RU"/>
        </w:rPr>
      </w:pPr>
      <w:bookmarkStart w:id="0" w:name="X448c685dbfe08c709984893df0fb55e8d9d82ca"/>
      <w:r>
        <w:rPr>
          <w:lang w:val="ru-RU"/>
        </w:rPr>
        <w:t>УДК</w:t>
      </w:r>
      <w:r w:rsidR="00702C75">
        <w:rPr>
          <w:lang w:val="ru-RU"/>
        </w:rPr>
        <w:t xml:space="preserve"> </w:t>
      </w:r>
      <w:r w:rsidR="00702C75" w:rsidRPr="00702C75">
        <w:rPr>
          <w:lang w:val="ru-RU"/>
        </w:rPr>
        <w:t>519.677</w:t>
      </w:r>
    </w:p>
    <w:p w14:paraId="3EE1436A" w14:textId="77777777" w:rsidR="00DD0C72" w:rsidRPr="00DD0C72" w:rsidRDefault="00DD0C72" w:rsidP="00DD0C72">
      <w:pPr>
        <w:pStyle w:val="Textkrper"/>
        <w:ind w:firstLine="0"/>
        <w:jc w:val="left"/>
        <w:rPr>
          <w:lang w:val="ru-RU"/>
        </w:rPr>
      </w:pPr>
    </w:p>
    <w:p w14:paraId="0372DD87" w14:textId="4F21F22A" w:rsidR="004134AB" w:rsidRPr="00702C75" w:rsidRDefault="00DD0C72" w:rsidP="008424E8">
      <w:pPr>
        <w:pStyle w:val="Textkrper"/>
        <w:spacing w:after="0"/>
        <w:jc w:val="center"/>
        <w:rPr>
          <w:lang w:val="ru-RU"/>
        </w:rPr>
      </w:pPr>
      <w:r>
        <w:rPr>
          <w:lang w:val="ru-RU"/>
        </w:rPr>
        <w:t>Н.С. ВОРОБЬЕВ</w:t>
      </w:r>
      <w:r w:rsidR="00702C75">
        <w:rPr>
          <w:lang w:val="ru-RU"/>
        </w:rPr>
        <w:t>, Е.С. БОРОВИНСКАЯ</w:t>
      </w:r>
    </w:p>
    <w:p w14:paraId="1B38A2AC" w14:textId="4FEEF4D7" w:rsidR="004134AB" w:rsidRPr="00702C75" w:rsidRDefault="00DD0C72" w:rsidP="008424E8">
      <w:pPr>
        <w:pStyle w:val="Textkrper"/>
        <w:jc w:val="center"/>
      </w:pPr>
      <w:r>
        <w:t>N</w:t>
      </w:r>
      <w:r w:rsidRPr="00702C75">
        <w:t>.</w:t>
      </w:r>
      <w:r>
        <w:t>S</w:t>
      </w:r>
      <w:r w:rsidRPr="00702C75">
        <w:t xml:space="preserve">. </w:t>
      </w:r>
      <w:r>
        <w:t>VOROBEV</w:t>
      </w:r>
      <w:r w:rsidR="00702C75" w:rsidRPr="00702C75">
        <w:t xml:space="preserve">, </w:t>
      </w:r>
      <w:r w:rsidR="00702C75">
        <w:t>E.S. BOROVINSKAYA</w:t>
      </w:r>
    </w:p>
    <w:p w14:paraId="39D692DA" w14:textId="77777777" w:rsidR="00DD0C72" w:rsidRPr="00702C75" w:rsidRDefault="00DD0C72" w:rsidP="004134AB">
      <w:pPr>
        <w:pStyle w:val="Textkrper"/>
        <w:jc w:val="center"/>
      </w:pPr>
    </w:p>
    <w:p w14:paraId="58663FA6" w14:textId="41778D36" w:rsidR="00DD0C72" w:rsidRPr="00DD0C72" w:rsidRDefault="00DD0C72" w:rsidP="00DD0C72">
      <w:pPr>
        <w:pStyle w:val="berschrift1"/>
        <w:spacing w:before="0" w:after="240"/>
        <w:rPr>
          <w:lang w:val="ru-RU"/>
        </w:rPr>
      </w:pPr>
      <w:r w:rsidRPr="00DD0C72">
        <w:rPr>
          <w:lang w:val="ru-RU"/>
        </w:rPr>
        <w:t>МОДЕЛИРОВАНИЕ ГИДРОДИНАМИКИ ДВУХФАЗНОЙ ЖИДКОСТИ В МИКРО</w:t>
      </w:r>
      <w:r w:rsidR="00702C75">
        <w:rPr>
          <w:lang w:val="ru-RU"/>
        </w:rPr>
        <w:t>РЕАКТОРЕ</w:t>
      </w:r>
      <w:r w:rsidRPr="00DD0C72">
        <w:rPr>
          <w:lang w:val="ru-RU"/>
        </w:rPr>
        <w:t xml:space="preserve"> С И</w:t>
      </w:r>
      <w:r w:rsidR="00827371">
        <w:rPr>
          <w:lang w:val="ru-RU"/>
        </w:rPr>
        <w:t>С</w:t>
      </w:r>
      <w:r w:rsidRPr="00DD0C72">
        <w:rPr>
          <w:lang w:val="ru-RU"/>
        </w:rPr>
        <w:t xml:space="preserve">ПОЛЬЗОВАНИЕМ БИБЛИОТЕКИ </w:t>
      </w:r>
      <w:r w:rsidRPr="00DD0C72">
        <w:t>OPENFOAM</w:t>
      </w:r>
    </w:p>
    <w:p w14:paraId="42BBEFE2" w14:textId="6D704997" w:rsidR="00DD0C72" w:rsidRPr="00E1438A" w:rsidRDefault="00827371" w:rsidP="00827371">
      <w:pPr>
        <w:pStyle w:val="berschrift1"/>
        <w:spacing w:before="0" w:after="240"/>
      </w:pPr>
      <w:r w:rsidRPr="00E1438A">
        <w:t>SIMULATION OF TWO-PHASE FLUID DYNAMICS IN A MICROREACTOR USING THE OPENFOAM LIBRARY</w:t>
      </w:r>
    </w:p>
    <w:p w14:paraId="692CFB8E" w14:textId="7DBB70F1" w:rsidR="00DD0C72" w:rsidRPr="00DD0C72" w:rsidRDefault="002609A7" w:rsidP="008424E8">
      <w:pPr>
        <w:pStyle w:val="FirstParagraph"/>
        <w:spacing w:after="0"/>
        <w:ind w:firstLine="720"/>
        <w:rPr>
          <w:rFonts w:cs="Times New Roman"/>
          <w:i/>
          <w:iCs/>
          <w:sz w:val="20"/>
          <w:szCs w:val="20"/>
          <w:lang w:val="ru-RU"/>
        </w:rPr>
      </w:pPr>
      <w:r w:rsidRPr="00702C75">
        <w:rPr>
          <w:i/>
          <w:iCs/>
          <w:sz w:val="20"/>
          <w:szCs w:val="20"/>
          <w:lang w:val="ru-RU"/>
        </w:rPr>
        <w:t>В данной статье рассмотрено применение библиотеки OpenFOAM</w:t>
      </w:r>
      <w:r w:rsidR="00DD0C72" w:rsidRPr="00702C75">
        <w:rPr>
          <w:i/>
          <w:iCs/>
          <w:sz w:val="20"/>
          <w:szCs w:val="20"/>
          <w:lang w:val="ru-RU"/>
        </w:rPr>
        <w:t xml:space="preserve"> </w:t>
      </w:r>
      <w:r w:rsidRPr="00702C75">
        <w:rPr>
          <w:i/>
          <w:iCs/>
          <w:sz w:val="20"/>
          <w:szCs w:val="20"/>
          <w:lang w:val="ru-RU"/>
        </w:rPr>
        <w:t>для моделирования гидродинамики двухфазного потока в микроканале на примере с</w:t>
      </w:r>
      <w:r w:rsidR="00646FD6" w:rsidRPr="00702C75">
        <w:rPr>
          <w:i/>
          <w:iCs/>
          <w:sz w:val="20"/>
          <w:szCs w:val="20"/>
          <w:lang w:val="ru-RU"/>
        </w:rPr>
        <w:t>мешения с</w:t>
      </w:r>
      <w:r w:rsidRPr="00702C75">
        <w:rPr>
          <w:i/>
          <w:iCs/>
          <w:sz w:val="20"/>
          <w:szCs w:val="20"/>
          <w:lang w:val="ru-RU"/>
        </w:rPr>
        <w:t>оевого масла и этанола</w:t>
      </w:r>
      <w:r w:rsidR="00646FD6" w:rsidRPr="00702C75">
        <w:rPr>
          <w:i/>
          <w:iCs/>
          <w:sz w:val="20"/>
          <w:szCs w:val="20"/>
          <w:lang w:val="ru-RU"/>
        </w:rPr>
        <w:t>. Для оценки эффективности</w:t>
      </w:r>
      <w:r w:rsidR="00DD0C72" w:rsidRPr="00702C75">
        <w:rPr>
          <w:i/>
          <w:iCs/>
          <w:sz w:val="20"/>
          <w:szCs w:val="20"/>
          <w:lang w:val="ru-RU"/>
        </w:rPr>
        <w:t xml:space="preserve"> </w:t>
      </w:r>
      <w:r w:rsidR="00646FD6" w:rsidRPr="00702C75">
        <w:rPr>
          <w:i/>
          <w:iCs/>
          <w:sz w:val="20"/>
          <w:szCs w:val="20"/>
          <w:lang w:val="ru-RU"/>
        </w:rPr>
        <w:t xml:space="preserve">протекания реакции </w:t>
      </w:r>
      <w:r w:rsidR="00DD0C72" w:rsidRPr="00702C75">
        <w:rPr>
          <w:i/>
          <w:iCs/>
          <w:sz w:val="20"/>
          <w:szCs w:val="20"/>
          <w:lang w:val="ru-RU"/>
        </w:rPr>
        <w:t>с помощью</w:t>
      </w:r>
      <w:r w:rsidR="00646FD6" w:rsidRPr="00702C75">
        <w:rPr>
          <w:i/>
          <w:iCs/>
          <w:sz w:val="20"/>
          <w:szCs w:val="20"/>
          <w:lang w:val="ru-RU"/>
        </w:rPr>
        <w:t xml:space="preserve"> ParaView был произведен расчет площади границы раздела фаз</w:t>
      </w:r>
      <w:r w:rsidR="00DD0C72" w:rsidRPr="00DD0C72">
        <w:rPr>
          <w:rFonts w:cs="Times New Roman"/>
          <w:i/>
          <w:iCs/>
          <w:sz w:val="20"/>
          <w:szCs w:val="20"/>
          <w:lang w:val="ru-RU"/>
        </w:rPr>
        <w:t>.</w:t>
      </w:r>
    </w:p>
    <w:p w14:paraId="6F9B5BF0" w14:textId="6FC83490" w:rsidR="00DD0C72" w:rsidRPr="009363EA" w:rsidRDefault="002609A7" w:rsidP="008424E8">
      <w:pPr>
        <w:pStyle w:val="Textkrper"/>
        <w:rPr>
          <w:i/>
          <w:iCs/>
          <w:sz w:val="20"/>
          <w:szCs w:val="20"/>
          <w:lang w:val="ru-RU"/>
        </w:rPr>
      </w:pPr>
      <w:r w:rsidRPr="00DD0C72">
        <w:rPr>
          <w:i/>
          <w:iCs/>
          <w:sz w:val="20"/>
          <w:szCs w:val="20"/>
          <w:lang w:val="ru-RU"/>
        </w:rPr>
        <w:t>Ключевые</w:t>
      </w:r>
      <w:r w:rsidRPr="009363EA">
        <w:rPr>
          <w:i/>
          <w:iCs/>
          <w:sz w:val="20"/>
          <w:szCs w:val="20"/>
          <w:lang w:val="ru-RU"/>
        </w:rPr>
        <w:t xml:space="preserve"> </w:t>
      </w:r>
      <w:r w:rsidRPr="00DD0C72">
        <w:rPr>
          <w:i/>
          <w:iCs/>
          <w:sz w:val="20"/>
          <w:szCs w:val="20"/>
          <w:lang w:val="ru-RU"/>
        </w:rPr>
        <w:t>слова</w:t>
      </w:r>
      <w:r w:rsidRPr="009363EA">
        <w:rPr>
          <w:i/>
          <w:iCs/>
          <w:sz w:val="20"/>
          <w:szCs w:val="20"/>
          <w:lang w:val="ru-RU"/>
        </w:rPr>
        <w:t xml:space="preserve">: </w:t>
      </w:r>
      <w:r w:rsidR="009363EA">
        <w:rPr>
          <w:i/>
          <w:iCs/>
          <w:sz w:val="20"/>
          <w:szCs w:val="20"/>
          <w:lang w:val="ru-RU"/>
        </w:rPr>
        <w:t>вычислительная гидродинамика</w:t>
      </w:r>
      <w:r w:rsidR="009363EA" w:rsidRPr="009363EA">
        <w:rPr>
          <w:i/>
          <w:iCs/>
          <w:sz w:val="20"/>
          <w:szCs w:val="20"/>
          <w:lang w:val="ru-RU"/>
        </w:rPr>
        <w:t xml:space="preserve">; </w:t>
      </w:r>
      <w:r w:rsidR="009363EA">
        <w:rPr>
          <w:i/>
          <w:iCs/>
          <w:sz w:val="20"/>
          <w:szCs w:val="20"/>
          <w:lang w:val="ru-RU"/>
        </w:rPr>
        <w:t>микроканал</w:t>
      </w:r>
      <w:r w:rsidR="009363EA" w:rsidRPr="009363EA">
        <w:rPr>
          <w:i/>
          <w:iCs/>
          <w:sz w:val="20"/>
          <w:szCs w:val="20"/>
          <w:lang w:val="ru-RU"/>
        </w:rPr>
        <w:t xml:space="preserve">; </w:t>
      </w:r>
      <w:r w:rsidR="009363EA">
        <w:rPr>
          <w:i/>
          <w:iCs/>
          <w:sz w:val="20"/>
          <w:szCs w:val="20"/>
          <w:lang w:val="ru-RU"/>
        </w:rPr>
        <w:t>двухфазный поток</w:t>
      </w:r>
      <w:r w:rsidR="009363EA" w:rsidRPr="009363EA">
        <w:rPr>
          <w:i/>
          <w:iCs/>
          <w:sz w:val="20"/>
          <w:szCs w:val="20"/>
          <w:lang w:val="ru-RU"/>
        </w:rPr>
        <w:t xml:space="preserve">; </w:t>
      </w:r>
      <w:r w:rsidR="009363EA">
        <w:rPr>
          <w:i/>
          <w:iCs/>
          <w:sz w:val="20"/>
          <w:szCs w:val="20"/>
          <w:lang w:val="ru-RU"/>
        </w:rPr>
        <w:t>граница раздела фаз</w:t>
      </w:r>
      <w:r w:rsidR="009363EA" w:rsidRPr="009363EA">
        <w:rPr>
          <w:i/>
          <w:iCs/>
          <w:sz w:val="20"/>
          <w:szCs w:val="20"/>
          <w:lang w:val="ru-RU"/>
        </w:rPr>
        <w:t>;</w:t>
      </w:r>
      <w:r w:rsidR="009363EA">
        <w:rPr>
          <w:i/>
          <w:iCs/>
          <w:sz w:val="20"/>
          <w:szCs w:val="20"/>
          <w:lang w:val="ru-RU"/>
        </w:rPr>
        <w:t xml:space="preserve"> этанол</w:t>
      </w:r>
      <w:r w:rsidR="009363EA" w:rsidRPr="009363EA">
        <w:rPr>
          <w:i/>
          <w:iCs/>
          <w:sz w:val="20"/>
          <w:szCs w:val="20"/>
          <w:lang w:val="ru-RU"/>
        </w:rPr>
        <w:t xml:space="preserve">; </w:t>
      </w:r>
      <w:r w:rsidR="009363EA">
        <w:rPr>
          <w:i/>
          <w:iCs/>
          <w:sz w:val="20"/>
          <w:szCs w:val="20"/>
          <w:lang w:val="ru-RU"/>
        </w:rPr>
        <w:t>соевое масло</w:t>
      </w:r>
      <w:r w:rsidR="009363EA" w:rsidRPr="009363EA">
        <w:rPr>
          <w:i/>
          <w:iCs/>
          <w:sz w:val="20"/>
          <w:szCs w:val="20"/>
          <w:lang w:val="ru-RU"/>
        </w:rPr>
        <w:t>;</w:t>
      </w:r>
      <w:r w:rsidR="009363EA">
        <w:rPr>
          <w:i/>
          <w:iCs/>
          <w:sz w:val="20"/>
          <w:szCs w:val="20"/>
          <w:lang w:val="ru-RU"/>
        </w:rPr>
        <w:t xml:space="preserve"> </w:t>
      </w:r>
    </w:p>
    <w:p w14:paraId="3D37E5B2" w14:textId="674EA30D" w:rsidR="00DD0C72" w:rsidRDefault="00DD0C72" w:rsidP="008424E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0C72">
        <w:rPr>
          <w:rFonts w:ascii="Times New Roman" w:hAnsi="Times New Roman" w:cs="Times New Roman"/>
          <w:i/>
          <w:iCs/>
          <w:sz w:val="20"/>
          <w:szCs w:val="20"/>
        </w:rPr>
        <w:t xml:space="preserve">This article discusses the use of the </w:t>
      </w:r>
      <w:proofErr w:type="spellStart"/>
      <w:r w:rsidRPr="00DD0C72">
        <w:rPr>
          <w:rFonts w:ascii="Times New Roman" w:hAnsi="Times New Roman" w:cs="Times New Roman"/>
          <w:i/>
          <w:iCs/>
          <w:sz w:val="20"/>
          <w:szCs w:val="20"/>
        </w:rPr>
        <w:t>OpenFOAM</w:t>
      </w:r>
      <w:proofErr w:type="spellEnd"/>
      <w:r w:rsidRPr="00DD0C72">
        <w:rPr>
          <w:rFonts w:ascii="Times New Roman" w:hAnsi="Times New Roman" w:cs="Times New Roman"/>
          <w:i/>
          <w:iCs/>
          <w:sz w:val="20"/>
          <w:szCs w:val="20"/>
        </w:rPr>
        <w:t xml:space="preserve"> library for modeling the hydrodynamics of a two-phase flow in a microchannel using the example of mixing soybean oil and ethanol. To evaluate the efficiency of the reaction, </w:t>
      </w:r>
      <w:proofErr w:type="spellStart"/>
      <w:r w:rsidRPr="00DD0C72">
        <w:rPr>
          <w:rFonts w:ascii="Times New Roman" w:hAnsi="Times New Roman" w:cs="Times New Roman"/>
          <w:i/>
          <w:iCs/>
          <w:sz w:val="20"/>
          <w:szCs w:val="20"/>
        </w:rPr>
        <w:t>ParaView</w:t>
      </w:r>
      <w:proofErr w:type="spellEnd"/>
      <w:r w:rsidRPr="00DD0C72">
        <w:rPr>
          <w:rFonts w:ascii="Times New Roman" w:hAnsi="Times New Roman" w:cs="Times New Roman"/>
          <w:i/>
          <w:iCs/>
          <w:sz w:val="20"/>
          <w:szCs w:val="20"/>
        </w:rPr>
        <w:t xml:space="preserve"> was used to calculate the area of ​​the phase boundary.</w:t>
      </w:r>
    </w:p>
    <w:p w14:paraId="6ACB3261" w14:textId="45FA2BB1" w:rsidR="00DD0C72" w:rsidRPr="000908BC" w:rsidRDefault="00DD0C72" w:rsidP="00DD0C72">
      <w:pPr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Keywords:</w:t>
      </w:r>
      <w:r w:rsidR="009363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363EA" w:rsidRPr="009363EA">
        <w:rPr>
          <w:rFonts w:ascii="Times New Roman" w:hAnsi="Times New Roman" w:cs="Times New Roman"/>
          <w:i/>
          <w:iCs/>
          <w:sz w:val="20"/>
          <w:szCs w:val="20"/>
        </w:rPr>
        <w:t>computational fluid dynamics; microchannel; two-phase flow; phase boundaries; ethanol; soybean oil</w:t>
      </w:r>
      <w:r w:rsidR="000908BC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0C7BEC66" w14:textId="0B93B460" w:rsidR="007D43E5" w:rsidRDefault="002609A7" w:rsidP="00702C75">
      <w:pPr>
        <w:pStyle w:val="Textkrper"/>
        <w:spacing w:after="0"/>
        <w:rPr>
          <w:lang w:val="ru-RU"/>
        </w:rPr>
      </w:pPr>
      <w:r w:rsidRPr="00764539">
        <w:rPr>
          <w:lang w:val="ru-RU"/>
        </w:rPr>
        <w:t xml:space="preserve">Микрореакторами называют </w:t>
      </w:r>
      <w:r w:rsidRPr="007D43E5">
        <w:rPr>
          <w:lang w:val="ru-RU"/>
        </w:rPr>
        <w:t>миниатюрные системы для проведения реакций</w:t>
      </w:r>
      <w:r w:rsidR="00A30A52" w:rsidRPr="007D43E5">
        <w:rPr>
          <w:lang w:val="ru-RU"/>
        </w:rPr>
        <w:t>,</w:t>
      </w:r>
      <w:r w:rsidRPr="007D43E5">
        <w:rPr>
          <w:lang w:val="ru-RU"/>
        </w:rPr>
        <w:t xml:space="preserve"> изготовленные с примене</w:t>
      </w:r>
      <w:r w:rsidR="00A30A52" w:rsidRPr="007D43E5">
        <w:rPr>
          <w:lang w:val="ru-RU"/>
        </w:rPr>
        <w:t>нием специальной микротехнологии</w:t>
      </w:r>
      <w:r w:rsidRPr="007D43E5">
        <w:rPr>
          <w:lang w:val="ru-RU"/>
        </w:rPr>
        <w:t xml:space="preserve">. Большинство современных </w:t>
      </w:r>
      <w:r w:rsidR="0009084E">
        <w:rPr>
          <w:lang w:val="ru-RU"/>
        </w:rPr>
        <w:t>микро</w:t>
      </w:r>
      <w:r w:rsidRPr="007D43E5">
        <w:rPr>
          <w:lang w:val="ru-RU"/>
        </w:rPr>
        <w:t>реакторов имеют ширину каналов в диапазоне от 50 до 500 микрометров</w:t>
      </w:r>
      <w:r w:rsidR="00646FD6" w:rsidRPr="007D43E5">
        <w:rPr>
          <w:lang w:val="ru-RU"/>
        </w:rPr>
        <w:t xml:space="preserve"> </w:t>
      </w:r>
      <w:r w:rsidRPr="007D43E5">
        <w:rPr>
          <w:lang w:val="ru-RU"/>
        </w:rPr>
        <w:t>[1].</w:t>
      </w:r>
      <w:r w:rsidR="007D43E5">
        <w:rPr>
          <w:lang w:val="ru-RU"/>
        </w:rPr>
        <w:t xml:space="preserve"> </w:t>
      </w:r>
      <w:r w:rsidRPr="00764539">
        <w:rPr>
          <w:lang w:val="ru-RU"/>
        </w:rPr>
        <w:t xml:space="preserve">В микрореакторах </w:t>
      </w:r>
      <w:r w:rsidR="001A2D31">
        <w:rPr>
          <w:lang w:val="ru-RU"/>
        </w:rPr>
        <w:t xml:space="preserve">для </w:t>
      </w:r>
      <w:r w:rsidR="001A2D31" w:rsidRPr="00764539">
        <w:rPr>
          <w:lang w:val="ru-RU"/>
        </w:rPr>
        <w:t>многофазных систем</w:t>
      </w:r>
      <w:r w:rsidRPr="00764539">
        <w:rPr>
          <w:lang w:val="ru-RU"/>
        </w:rPr>
        <w:t xml:space="preserve"> наблюдается особое тейлоровское течение (</w:t>
      </w:r>
      <w:r>
        <w:t>slug</w:t>
      </w:r>
      <w:r w:rsidRPr="00764539">
        <w:rPr>
          <w:lang w:val="ru-RU"/>
        </w:rPr>
        <w:t xml:space="preserve"> </w:t>
      </w:r>
      <w:r>
        <w:t>flow</w:t>
      </w:r>
      <w:r w:rsidRPr="00764539">
        <w:rPr>
          <w:lang w:val="ru-RU"/>
        </w:rPr>
        <w:t xml:space="preserve">). Это </w:t>
      </w:r>
      <w:r w:rsidR="001A2D31">
        <w:rPr>
          <w:lang w:val="ru-RU"/>
        </w:rPr>
        <w:t>течение</w:t>
      </w:r>
      <w:r w:rsidRPr="00764539">
        <w:rPr>
          <w:lang w:val="ru-RU"/>
        </w:rPr>
        <w:t xml:space="preserve"> возникает из-за трения сегментированной жидкости о стенки микроканала [2]. Тейлоровское течение часто обеспечивает хорошее разделение между фазами и способствует интенсификации процессов массо- и теплообмена. </w:t>
      </w:r>
      <w:r w:rsidR="009D3067">
        <w:rPr>
          <w:lang w:val="ru-RU"/>
        </w:rPr>
        <w:t>Оно образуется</w:t>
      </w:r>
      <w:r w:rsidRPr="00764539">
        <w:rPr>
          <w:lang w:val="ru-RU"/>
        </w:rPr>
        <w:t xml:space="preserve"> благодаря образованию внутри капель жидкости вторичных циркуляционных движений, которые способствуют перемешиванию. Благодаря этим особенностям применение микрореакторов является одной из наиболее перспективных технологий в сфере химической технологии.</w:t>
      </w:r>
    </w:p>
    <w:p w14:paraId="73DF0561" w14:textId="2F3117C4" w:rsidR="004F04F2" w:rsidRDefault="002609A7" w:rsidP="00702C75">
      <w:pPr>
        <w:pStyle w:val="Textkrper"/>
        <w:spacing w:after="0"/>
        <w:rPr>
          <w:lang w:val="ru-RU"/>
        </w:rPr>
      </w:pPr>
      <w:r w:rsidRPr="00764539">
        <w:rPr>
          <w:lang w:val="ru-RU"/>
        </w:rPr>
        <w:t xml:space="preserve">Для максимальной эффективности использования микрореакторов необходимо </w:t>
      </w:r>
      <w:r w:rsidR="00C11A06" w:rsidRPr="00C11A06">
        <w:rPr>
          <w:lang w:val="ru-RU"/>
        </w:rPr>
        <w:t>проводить поиск оптимальных параметров проведения процесса</w:t>
      </w:r>
      <w:r w:rsidRPr="00764539">
        <w:rPr>
          <w:lang w:val="ru-RU"/>
        </w:rPr>
        <w:t xml:space="preserve">. Для определения этих параметров </w:t>
      </w:r>
      <w:r w:rsidR="004873C1">
        <w:rPr>
          <w:lang w:val="ru-RU"/>
        </w:rPr>
        <w:t xml:space="preserve">целесообразно </w:t>
      </w:r>
      <w:r w:rsidRPr="00764539">
        <w:rPr>
          <w:lang w:val="ru-RU"/>
        </w:rPr>
        <w:t>применя</w:t>
      </w:r>
      <w:r w:rsidR="004873C1">
        <w:rPr>
          <w:lang w:val="ru-RU"/>
        </w:rPr>
        <w:t>ть</w:t>
      </w:r>
      <w:r w:rsidRPr="00764539">
        <w:rPr>
          <w:lang w:val="ru-RU"/>
        </w:rPr>
        <w:t xml:space="preserve"> физические и математические модели.</w:t>
      </w:r>
      <w:r w:rsidR="004873C1">
        <w:rPr>
          <w:lang w:val="ru-RU"/>
        </w:rPr>
        <w:t xml:space="preserve"> </w:t>
      </w:r>
      <w:r w:rsidRPr="00764539">
        <w:rPr>
          <w:lang w:val="ru-RU"/>
        </w:rPr>
        <w:t xml:space="preserve">Компьютерное моделирование основано на математических моделях, описывающих поведение процесса. </w:t>
      </w:r>
      <w:r w:rsidR="004873C1">
        <w:rPr>
          <w:lang w:val="ru-RU"/>
        </w:rPr>
        <w:t xml:space="preserve">В связи с специальными течениями в микрореакторах особо актуальным становится моделирование гидродинамики в этих аппаратах. </w:t>
      </w:r>
    </w:p>
    <w:p w14:paraId="10F9F4A4" w14:textId="3724E3D3" w:rsidR="00AA43F8" w:rsidRDefault="004873C1" w:rsidP="00702C75">
      <w:pPr>
        <w:pStyle w:val="Textkrper"/>
        <w:spacing w:after="0"/>
        <w:rPr>
          <w:lang w:val="ru-RU" w:eastAsia="ru-RU"/>
        </w:rPr>
      </w:pPr>
      <w:r>
        <w:rPr>
          <w:lang w:val="ru-RU" w:eastAsia="ru-RU"/>
        </w:rPr>
        <w:t>Б</w:t>
      </w:r>
      <w:r w:rsidR="003B3692" w:rsidRPr="003B3692">
        <w:rPr>
          <w:lang w:val="ru-RU" w:eastAsia="ru-RU"/>
        </w:rPr>
        <w:t>ольшинство доступного программного обеспечения для этой цели является коммерческим и имеет закрытый исходный код</w:t>
      </w:r>
      <w:r>
        <w:rPr>
          <w:lang w:val="ru-RU" w:eastAsia="ru-RU"/>
        </w:rPr>
        <w:t>, что</w:t>
      </w:r>
      <w:r w:rsidR="003B3692" w:rsidRPr="003B3692">
        <w:rPr>
          <w:lang w:val="ru-RU" w:eastAsia="ru-RU"/>
        </w:rPr>
        <w:t xml:space="preserve"> ограничивает возможности </w:t>
      </w:r>
      <w:r w:rsidR="0011020E">
        <w:rPr>
          <w:lang w:val="ru-RU" w:eastAsia="ru-RU"/>
        </w:rPr>
        <w:t>применения</w:t>
      </w:r>
      <w:r w:rsidR="003B3692" w:rsidRPr="003B3692">
        <w:rPr>
          <w:lang w:val="ru-RU" w:eastAsia="ru-RU"/>
        </w:rPr>
        <w:t xml:space="preserve"> и анализа алгоритмов решения</w:t>
      </w:r>
      <w:r w:rsidR="003B3692">
        <w:rPr>
          <w:lang w:val="ru-RU" w:eastAsia="ru-RU"/>
        </w:rPr>
        <w:t xml:space="preserve"> </w:t>
      </w:r>
      <w:r w:rsidR="003B3692" w:rsidRPr="003B3692">
        <w:rPr>
          <w:lang w:val="ru-RU" w:eastAsia="ru-RU"/>
        </w:rPr>
        <w:t>для научных задач.</w:t>
      </w:r>
      <w:r w:rsidR="00AA43F8">
        <w:rPr>
          <w:lang w:val="ru-RU" w:eastAsia="ru-RU"/>
        </w:rPr>
        <w:t xml:space="preserve"> </w:t>
      </w:r>
    </w:p>
    <w:p w14:paraId="7B636384" w14:textId="3687312F" w:rsidR="004F04F2" w:rsidRPr="00764539" w:rsidRDefault="00AA43F8" w:rsidP="00702C75">
      <w:pPr>
        <w:pStyle w:val="Textkrper"/>
        <w:spacing w:after="0"/>
        <w:rPr>
          <w:lang w:val="ru-RU"/>
        </w:rPr>
      </w:pPr>
      <w:r>
        <w:rPr>
          <w:lang w:val="ru-RU" w:eastAsia="ru-RU"/>
        </w:rPr>
        <w:t xml:space="preserve">Подходящим для целей работы инструментом является библиотека с открытым исходным кодом </w:t>
      </w:r>
      <w:proofErr w:type="spellStart"/>
      <w:r>
        <w:rPr>
          <w:lang w:eastAsia="ru-RU"/>
        </w:rPr>
        <w:t>OpenFOAM</w:t>
      </w:r>
      <w:proofErr w:type="spellEnd"/>
      <w:r w:rsidR="0011020E">
        <w:rPr>
          <w:lang w:val="ru-RU"/>
        </w:rPr>
        <w:t xml:space="preserve">. Библиотека </w:t>
      </w:r>
      <w:r w:rsidRPr="00764539">
        <w:rPr>
          <w:lang w:val="ru-RU"/>
        </w:rPr>
        <w:t>облада</w:t>
      </w:r>
      <w:r w:rsidR="0011020E">
        <w:rPr>
          <w:lang w:val="ru-RU"/>
        </w:rPr>
        <w:t>ет</w:t>
      </w:r>
      <w:r w:rsidR="005700C9">
        <w:rPr>
          <w:lang w:val="ru-RU"/>
        </w:rPr>
        <w:t xml:space="preserve"> множеством</w:t>
      </w:r>
      <w:r>
        <w:rPr>
          <w:lang w:val="ru-RU"/>
        </w:rPr>
        <w:t xml:space="preserve"> встроенных алгоритмов (</w:t>
      </w:r>
      <w:r w:rsidRPr="00764539">
        <w:rPr>
          <w:lang w:val="ru-RU"/>
        </w:rPr>
        <w:t>солверов</w:t>
      </w:r>
      <w:r>
        <w:rPr>
          <w:lang w:val="ru-RU"/>
        </w:rPr>
        <w:t>)</w:t>
      </w:r>
      <w:r w:rsidRPr="00764539">
        <w:rPr>
          <w:lang w:val="ru-RU"/>
        </w:rPr>
        <w:t xml:space="preserve"> для решения задач</w:t>
      </w:r>
      <w:r w:rsidR="0011020E">
        <w:rPr>
          <w:lang w:val="ru-RU"/>
        </w:rPr>
        <w:t xml:space="preserve"> гидродинамики. Одним из встроенных солверов является </w:t>
      </w:r>
      <w:proofErr w:type="spellStart"/>
      <w:r w:rsidR="0011020E">
        <w:t>interFoam</w:t>
      </w:r>
      <w:proofErr w:type="spellEnd"/>
      <w:r w:rsidR="0011020E">
        <w:rPr>
          <w:lang w:val="ru-RU"/>
        </w:rPr>
        <w:t>,</w:t>
      </w:r>
      <w:r w:rsidR="002609A7" w:rsidRPr="00764539">
        <w:rPr>
          <w:lang w:val="ru-RU"/>
        </w:rPr>
        <w:t xml:space="preserve"> предназначен</w:t>
      </w:r>
      <w:r w:rsidR="0011020E">
        <w:rPr>
          <w:lang w:val="ru-RU"/>
        </w:rPr>
        <w:t>ный</w:t>
      </w:r>
      <w:r w:rsidR="002609A7" w:rsidRPr="00764539">
        <w:rPr>
          <w:lang w:val="ru-RU"/>
        </w:rPr>
        <w:t xml:space="preserve"> для моделирования двух несжимаемых жидкостей</w:t>
      </w:r>
      <w:r w:rsidR="0011020E">
        <w:rPr>
          <w:lang w:val="ru-RU"/>
        </w:rPr>
        <w:t>.</w:t>
      </w:r>
    </w:p>
    <w:p w14:paraId="2EEDB81D" w14:textId="07E9BA70" w:rsidR="004F04F2" w:rsidRPr="00764539" w:rsidRDefault="002609A7" w:rsidP="00702C75">
      <w:pPr>
        <w:pStyle w:val="Textkrper"/>
        <w:spacing w:after="0"/>
        <w:rPr>
          <w:lang w:val="ru-RU"/>
        </w:rPr>
      </w:pPr>
      <w:r w:rsidRPr="00764539">
        <w:rPr>
          <w:lang w:val="ru-RU"/>
        </w:rPr>
        <w:t xml:space="preserve">Несжимаемость жидкости означает, что плотность жидкости остается постоянной в пределах всей жидкости. В областях, где присутствуют две жидкости, плотность определяется с использованием </w:t>
      </w:r>
      <w:r w:rsidR="004873C1">
        <w:rPr>
          <w:lang w:val="ru-RU"/>
        </w:rPr>
        <w:t>уравнения</w:t>
      </w:r>
      <w:r w:rsidRPr="00764539">
        <w:rPr>
          <w:lang w:val="ru-RU"/>
        </w:rPr>
        <w:t xml:space="preserve"> [</w:t>
      </w:r>
      <w:r w:rsidR="00CE5D10" w:rsidRPr="00B653CC">
        <w:rPr>
          <w:lang w:val="ru-RU"/>
        </w:rPr>
        <w:t>3</w:t>
      </w:r>
      <w:r w:rsidRPr="00764539">
        <w:rPr>
          <w:lang w:val="ru-RU"/>
        </w:rPr>
        <w:t>]:</w:t>
      </w:r>
    </w:p>
    <w:p w14:paraId="70BCFF6F" w14:textId="642AADB6" w:rsidR="004F04F2" w:rsidRPr="00702C75" w:rsidRDefault="00702C75" w:rsidP="00702C75">
      <w:pPr>
        <w:pStyle w:val="Textkrper"/>
        <w:spacing w:after="0"/>
        <w:jc w:val="center"/>
        <w:rPr>
          <w:iCs/>
          <w:lang w:val="ru-RU"/>
        </w:rPr>
      </w:pPr>
      <w:r w:rsidRPr="00702C75">
        <w:rPr>
          <w:rFonts w:eastAsiaTheme="minorEastAsia"/>
          <w:lang w:val="ru-RU"/>
        </w:rPr>
        <w:t xml:space="preserve">                                     </w:t>
      </w:r>
      <m:oMath>
        <m:r>
          <m:rPr>
            <m:sty m:val="p"/>
          </m:rP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</w:rPr>
          <m:t>α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+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d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sub>
        </m:sSub>
      </m:oMath>
      <w:r w:rsidRPr="00702C75">
        <w:rPr>
          <w:rFonts w:eastAsiaTheme="minorEastAsia"/>
          <w:iCs/>
          <w:lang w:val="ru-RU"/>
        </w:rPr>
        <w:t xml:space="preserve">                                                                 (1)</w:t>
      </w:r>
    </w:p>
    <w:p w14:paraId="1DA0296E" w14:textId="4224C4B9" w:rsidR="004F04F2" w:rsidRPr="00764539" w:rsidRDefault="002609A7" w:rsidP="00702C75">
      <w:pPr>
        <w:pStyle w:val="FirstParagraph"/>
        <w:spacing w:after="0"/>
        <w:ind w:firstLine="0"/>
        <w:rPr>
          <w:lang w:val="ru-RU"/>
        </w:rPr>
      </w:pPr>
      <w:r w:rsidRPr="00764539">
        <w:rPr>
          <w:lang w:val="ru-RU"/>
        </w:rPr>
        <w:lastRenderedPageBreak/>
        <w:t xml:space="preserve">где </w:t>
      </w:r>
      <m:oMath>
        <m:r>
          <m:rPr>
            <m:sty m:val="p"/>
          </m:rPr>
          <w:rPr>
            <w:rFonts w:ascii="Cambria Math" w:hAnsi="Cambria Math"/>
          </w:rPr>
          <m:t>ρ</m:t>
        </m:r>
      </m:oMath>
      <w:r w:rsidRPr="00764539">
        <w:rPr>
          <w:lang w:val="ru-RU"/>
        </w:rPr>
        <w:t xml:space="preserve"> </w:t>
      </w:r>
      <w:r w:rsidR="00702C75">
        <w:rPr>
          <w:lang w:val="ru-RU"/>
        </w:rPr>
        <w:t>–</w:t>
      </w:r>
      <w:r w:rsidRPr="00764539">
        <w:rPr>
          <w:lang w:val="ru-RU"/>
        </w:rPr>
        <w:t xml:space="preserve"> плотность, </w:t>
      </w:r>
      <m:oMath>
        <m:r>
          <w:rPr>
            <w:rFonts w:ascii="Cambria Math" w:hAnsi="Cambria Math"/>
            <w:lang w:val="ru-RU"/>
          </w:rPr>
          <m:t>кг</m:t>
        </m:r>
        <m:r>
          <m:rPr>
            <m:sty m:val="p"/>
          </m:rPr>
          <w:rPr>
            <w:rFonts w:ascii="Cambria Math" w:hAnsi="Cambria Math"/>
            <w:lang w:val="ru-RU"/>
          </w:rPr>
          <m:t>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</m:oMath>
      <w:r w:rsidRPr="00764539">
        <w:rPr>
          <w:lang w:val="ru-RU"/>
        </w:rPr>
        <w:t xml:space="preserve">;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 w:rsidRPr="00764539">
        <w:rPr>
          <w:lang w:val="ru-RU"/>
        </w:rPr>
        <w:t xml:space="preserve"> </w:t>
      </w:r>
      <w:r w:rsidR="00702C75">
        <w:rPr>
          <w:lang w:val="ru-RU"/>
        </w:rPr>
        <w:t>–</w:t>
      </w:r>
      <w:r w:rsidRPr="00764539">
        <w:rPr>
          <w:lang w:val="ru-RU"/>
        </w:rPr>
        <w:t xml:space="preserve"> объемная доля первого вещества;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Pr="00EC63F4">
        <w:rPr>
          <w:iCs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sub>
        </m:sSub>
      </m:oMath>
      <w:r w:rsidRPr="00764539">
        <w:rPr>
          <w:lang w:val="ru-RU"/>
        </w:rPr>
        <w:t xml:space="preserve"> </w:t>
      </w:r>
      <w:r w:rsidR="00702C75">
        <w:rPr>
          <w:lang w:val="ru-RU"/>
        </w:rPr>
        <w:t>–</w:t>
      </w:r>
      <w:r w:rsidRPr="00764539">
        <w:rPr>
          <w:lang w:val="ru-RU"/>
        </w:rPr>
        <w:t xml:space="preserve"> плотность первого и второго вещества соответственно, </w:t>
      </w:r>
      <m:oMath>
        <m:r>
          <w:rPr>
            <w:rFonts w:ascii="Cambria Math" w:hAnsi="Cambria Math"/>
            <w:lang w:val="ru-RU"/>
          </w:rPr>
          <m:t>кг</m:t>
        </m:r>
        <m:r>
          <m:rPr>
            <m:sty m:val="p"/>
          </m:rPr>
          <w:rPr>
            <w:rFonts w:ascii="Cambria Math" w:hAnsi="Cambria Math"/>
            <w:lang w:val="ru-RU"/>
          </w:rPr>
          <m:t>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</m:oMath>
      <w:r w:rsidRPr="00764539">
        <w:rPr>
          <w:lang w:val="ru-RU"/>
        </w:rPr>
        <w:t>;</w:t>
      </w:r>
    </w:p>
    <w:p w14:paraId="6AB8E5F0" w14:textId="2BED6C91" w:rsidR="00764539" w:rsidRPr="00C42EC2" w:rsidRDefault="002609A7" w:rsidP="00702C75">
      <w:pPr>
        <w:pStyle w:val="Textkrper"/>
        <w:spacing w:after="0"/>
        <w:rPr>
          <w:lang w:val="ru-RU"/>
        </w:rPr>
      </w:pPr>
      <w:r w:rsidRPr="00764539">
        <w:rPr>
          <w:lang w:val="ru-RU"/>
        </w:rPr>
        <w:t xml:space="preserve">Для моделирования был выбран фрагмент </w:t>
      </w:r>
      <w:r w:rsidR="00586D98">
        <w:rPr>
          <w:lang w:val="ru-RU"/>
        </w:rPr>
        <w:t>модели микро</w:t>
      </w:r>
      <w:r w:rsidR="004873C1">
        <w:rPr>
          <w:lang w:val="ru-RU"/>
        </w:rPr>
        <w:t xml:space="preserve">реактора, </w:t>
      </w:r>
      <w:r w:rsidR="00586D98" w:rsidRPr="00702C75">
        <w:rPr>
          <w:lang w:val="ru-RU"/>
        </w:rPr>
        <w:t>выделенный</w:t>
      </w:r>
      <w:r w:rsidRPr="00764539">
        <w:rPr>
          <w:lang w:val="ru-RU"/>
        </w:rPr>
        <w:t xml:space="preserve"> на рисунке 1</w:t>
      </w:r>
      <w:r w:rsidR="00586D98" w:rsidRPr="007D43E5">
        <w:rPr>
          <w:lang w:val="ru-RU"/>
        </w:rPr>
        <w:t>(</w:t>
      </w:r>
      <w:r w:rsidR="00586D98" w:rsidRPr="007D43E5">
        <w:t>a</w:t>
      </w:r>
      <w:r w:rsidR="00C42EC2" w:rsidRPr="007D43E5">
        <w:rPr>
          <w:lang w:val="ru-RU"/>
        </w:rPr>
        <w:t>)</w:t>
      </w:r>
      <w:r w:rsidRPr="007D43E5">
        <w:rPr>
          <w:lang w:val="ru-RU"/>
        </w:rPr>
        <w:t>. Использование фрагмента помогает</w:t>
      </w:r>
      <w:r w:rsidR="00586D98" w:rsidRPr="007D43E5">
        <w:rPr>
          <w:lang w:val="ru-RU"/>
        </w:rPr>
        <w:t xml:space="preserve"> сильно сократить время расчета, т.к. гидродинамические вычисления являются крайне времязатратными.</w:t>
      </w:r>
      <w:r w:rsidR="00586D98">
        <w:rPr>
          <w:lang w:val="ru-RU"/>
        </w:rPr>
        <w:t xml:space="preserve"> </w:t>
      </w:r>
    </w:p>
    <w:p w14:paraId="6593B1DF" w14:textId="5B3BE6D2" w:rsidR="004F04F2" w:rsidRPr="00C42EC2" w:rsidRDefault="004F04F2" w:rsidP="00764539">
      <w:pPr>
        <w:pStyle w:val="CaptionedFigure"/>
        <w:spacing w:after="0"/>
        <w:jc w:val="center"/>
        <w:rPr>
          <w:lang w:val="ru-RU"/>
        </w:rPr>
      </w:pPr>
    </w:p>
    <w:p w14:paraId="52300175" w14:textId="18972E9A" w:rsidR="00702C75" w:rsidRDefault="00297DA4" w:rsidP="00702C75">
      <w:pPr>
        <w:pStyle w:val="Textkrper"/>
        <w:ind w:firstLine="0"/>
        <w:jc w:val="left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B48AE04" wp14:editId="55F7A58E">
            <wp:extent cx="6330950" cy="2997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9332" w14:textId="2DF5D51D" w:rsidR="004F04F2" w:rsidRPr="00702C75" w:rsidRDefault="002609A7" w:rsidP="00942ABE">
      <w:pPr>
        <w:pStyle w:val="Textkrper"/>
        <w:jc w:val="center"/>
        <w:rPr>
          <w:i/>
          <w:lang w:val="ru-RU"/>
        </w:rPr>
      </w:pPr>
      <w:r w:rsidRPr="00764539">
        <w:rPr>
          <w:lang w:val="ru-RU"/>
        </w:rPr>
        <w:t xml:space="preserve">Рисунок 1 </w:t>
      </w:r>
      <w:r w:rsidR="00942ABE">
        <w:rPr>
          <w:lang w:val="ru-RU"/>
        </w:rPr>
        <w:t>–</w:t>
      </w:r>
      <w:r w:rsidRPr="00764539">
        <w:rPr>
          <w:lang w:val="ru-RU"/>
        </w:rPr>
        <w:t xml:space="preserve"> </w:t>
      </w:r>
      <w:r w:rsidR="00B653CC">
        <w:rPr>
          <w:lang w:val="ru-RU"/>
        </w:rPr>
        <w:t xml:space="preserve">Трехмерная </w:t>
      </w:r>
      <w:r w:rsidRPr="00764539">
        <w:rPr>
          <w:lang w:val="ru-RU"/>
        </w:rPr>
        <w:t>модель микрореактора</w:t>
      </w:r>
      <w:r w:rsidR="00B653CC" w:rsidRPr="00B653CC">
        <w:rPr>
          <w:lang w:val="ru-RU"/>
        </w:rPr>
        <w:t xml:space="preserve"> </w:t>
      </w:r>
      <w:r w:rsidR="00B653CC">
        <w:rPr>
          <w:lang w:val="ru-RU"/>
        </w:rPr>
        <w:t>(а)</w:t>
      </w:r>
      <w:r w:rsidR="00702C75" w:rsidRPr="00702C75">
        <w:rPr>
          <w:lang w:val="ru-RU"/>
        </w:rPr>
        <w:t xml:space="preserve">, </w:t>
      </w:r>
      <w:r w:rsidR="00B653CC">
        <w:rPr>
          <w:lang w:val="ru-RU"/>
        </w:rPr>
        <w:t xml:space="preserve">расчетная сетка </w:t>
      </w:r>
      <w:r w:rsidR="00C42EC2">
        <w:rPr>
          <w:lang w:val="ru-RU"/>
        </w:rPr>
        <w:t>с обозначенными потоками жидкостей</w:t>
      </w:r>
      <w:r w:rsidR="00B653CC">
        <w:rPr>
          <w:lang w:val="ru-RU"/>
        </w:rPr>
        <w:t xml:space="preserve"> </w:t>
      </w:r>
      <w:r w:rsidR="00B653CC" w:rsidRPr="00C42EC2">
        <w:rPr>
          <w:lang w:val="ru-RU"/>
        </w:rPr>
        <w:t>(</w:t>
      </w:r>
      <w:r w:rsidR="00B653CC">
        <w:rPr>
          <w:lang w:val="ru-RU"/>
        </w:rPr>
        <w:t>б)</w:t>
      </w:r>
      <w:r w:rsidR="00702C75" w:rsidRPr="00702C75">
        <w:rPr>
          <w:lang w:val="ru-RU"/>
        </w:rPr>
        <w:t xml:space="preserve">, </w:t>
      </w:r>
      <w:r w:rsidR="00702C75">
        <w:rPr>
          <w:lang w:val="ru-RU"/>
        </w:rPr>
        <w:t>граница раздела фаз</w:t>
      </w:r>
      <w:r w:rsidR="004873C1">
        <w:rPr>
          <w:lang w:val="ru-RU"/>
        </w:rPr>
        <w:t>, полученная в результате моделирования</w:t>
      </w:r>
      <w:r w:rsidR="00702C75">
        <w:rPr>
          <w:lang w:val="ru-RU"/>
        </w:rPr>
        <w:t xml:space="preserve"> (в)</w:t>
      </w:r>
    </w:p>
    <w:p w14:paraId="32EAE78A" w14:textId="3FA21098" w:rsidR="004F04F2" w:rsidRPr="007D43E5" w:rsidRDefault="002609A7" w:rsidP="00702C75">
      <w:pPr>
        <w:pStyle w:val="Textkrper"/>
        <w:spacing w:after="0"/>
        <w:rPr>
          <w:lang w:val="ru-RU"/>
        </w:rPr>
      </w:pPr>
      <w:r w:rsidRPr="00764539">
        <w:rPr>
          <w:lang w:val="ru-RU"/>
        </w:rPr>
        <w:t xml:space="preserve">Для выбранного фрагмента микроканала </w:t>
      </w:r>
      <w:r w:rsidR="004873C1">
        <w:rPr>
          <w:lang w:val="ru-RU"/>
        </w:rPr>
        <w:t>генерировали</w:t>
      </w:r>
      <w:r w:rsidRPr="00764539">
        <w:rPr>
          <w:lang w:val="ru-RU"/>
        </w:rPr>
        <w:t xml:space="preserve"> сетк</w:t>
      </w:r>
      <w:r w:rsidR="004873C1">
        <w:rPr>
          <w:lang w:val="ru-RU"/>
        </w:rPr>
        <w:t>у</w:t>
      </w:r>
      <w:r w:rsidRPr="00764539">
        <w:rPr>
          <w:lang w:val="ru-RU"/>
        </w:rPr>
        <w:t xml:space="preserve"> с использованием инструмента </w:t>
      </w:r>
      <w:proofErr w:type="spellStart"/>
      <w:r>
        <w:t>cfMesh</w:t>
      </w:r>
      <w:proofErr w:type="spellEnd"/>
      <w:r w:rsidRPr="00764539">
        <w:rPr>
          <w:lang w:val="ru-RU"/>
        </w:rPr>
        <w:t>. Размер элемента в сетке задан равным 0,25 мм</w:t>
      </w:r>
      <w:r w:rsidR="006D0477">
        <w:rPr>
          <w:lang w:val="ru-RU"/>
        </w:rPr>
        <w:t xml:space="preserve"> по каждой из осей</w:t>
      </w:r>
      <w:r w:rsidRPr="00764539">
        <w:rPr>
          <w:lang w:val="ru-RU"/>
        </w:rPr>
        <w:t>.</w:t>
      </w:r>
      <w:r w:rsidR="006D0477">
        <w:rPr>
          <w:lang w:val="ru-RU"/>
        </w:rPr>
        <w:t xml:space="preserve"> </w:t>
      </w:r>
      <w:r w:rsidRPr="00764539">
        <w:rPr>
          <w:lang w:val="ru-RU"/>
        </w:rPr>
        <w:t xml:space="preserve"> Важной особенностью сетки является наличие динамического уточнения, которое позволяет автоматически увеличивать количество ячеек в определенной области в процессе расчета, основываясь на вычисленных характеристиках. Такой подход позволяет </w:t>
      </w:r>
      <w:r w:rsidR="00586D98">
        <w:rPr>
          <w:lang w:val="ru-RU"/>
        </w:rPr>
        <w:t xml:space="preserve">более точно </w:t>
      </w:r>
      <w:r w:rsidR="00586D98" w:rsidRPr="007D43E5">
        <w:rPr>
          <w:lang w:val="ru-RU"/>
        </w:rPr>
        <w:t>определить границу</w:t>
      </w:r>
      <w:r w:rsidRPr="007D43E5">
        <w:rPr>
          <w:lang w:val="ru-RU"/>
        </w:rPr>
        <w:t xml:space="preserve"> раздела фаз, не требуя уменьшения размера ячеек во всей расчетной сетке. Это существенно сокращает время вычислений, поскольку только граница раздела фаз подвергается уточнению. На рисунке </w:t>
      </w:r>
      <w:r w:rsidR="00C42EC2" w:rsidRPr="007D43E5">
        <w:rPr>
          <w:lang w:val="ru-RU"/>
        </w:rPr>
        <w:t>1 (б)</w:t>
      </w:r>
      <w:r w:rsidRPr="007D43E5">
        <w:rPr>
          <w:lang w:val="ru-RU"/>
        </w:rPr>
        <w:t xml:space="preserve"> представлена полученная расчетная сетка.</w:t>
      </w:r>
    </w:p>
    <w:p w14:paraId="56862C14" w14:textId="4763672B" w:rsidR="002512CB" w:rsidRDefault="002512CB" w:rsidP="00702C75">
      <w:pPr>
        <w:pStyle w:val="Textkrper"/>
        <w:spacing w:after="0"/>
        <w:rPr>
          <w:rFonts w:eastAsiaTheme="minorEastAsia"/>
          <w:lang w:val="ru-RU"/>
        </w:rPr>
      </w:pPr>
      <w:r w:rsidRPr="007D43E5">
        <w:rPr>
          <w:lang w:val="ru-RU"/>
        </w:rPr>
        <w:t>На основе данной сетки и параметров, представленных в таблице 1, проведено моделирование</w:t>
      </w:r>
      <w:r>
        <w:rPr>
          <w:lang w:val="ru-RU"/>
        </w:rPr>
        <w:t xml:space="preserve"> процесса</w:t>
      </w:r>
      <w:r w:rsidR="00DF718F">
        <w:rPr>
          <w:lang w:val="ru-RU"/>
        </w:rPr>
        <w:t xml:space="preserve"> смешения потоков соевого масла</w:t>
      </w:r>
      <w:r w:rsidR="00326E4C">
        <w:rPr>
          <w:lang w:val="ru-RU"/>
        </w:rPr>
        <w:t xml:space="preserve"> и этанола</w:t>
      </w:r>
      <w:r>
        <w:rPr>
          <w:lang w:val="ru-RU"/>
        </w:rPr>
        <w:t>.</w:t>
      </w:r>
      <w:r w:rsidR="00F749EA" w:rsidRPr="00F749EA">
        <w:rPr>
          <w:lang w:val="ru-RU"/>
        </w:rPr>
        <w:t xml:space="preserve"> </w:t>
      </w:r>
      <w:r w:rsidR="00F749EA">
        <w:rPr>
          <w:lang w:val="ru-RU"/>
        </w:rPr>
        <w:t xml:space="preserve">Значения плотности и динамической вязкости были взяты при 30 </w:t>
      </w:r>
      <m:oMath>
        <m:r>
          <m:rPr>
            <m:sty m:val="p"/>
          </m:rPr>
          <w:rPr>
            <w:rFonts w:ascii="Cambria Math" w:hAnsi="Cambria Math"/>
            <w:lang w:val="ru-RU"/>
          </w:rPr>
          <m:t>°C</m:t>
        </m:r>
      </m:oMath>
      <w:r w:rsidR="00F749EA" w:rsidRPr="00F749EA">
        <w:rPr>
          <w:rFonts w:eastAsiaTheme="minorEastAsia"/>
          <w:lang w:val="ru-RU"/>
        </w:rPr>
        <w:t>.</w:t>
      </w:r>
    </w:p>
    <w:p w14:paraId="7178B2E8" w14:textId="77777777" w:rsidR="00702C75" w:rsidRPr="00764539" w:rsidRDefault="00702C75" w:rsidP="00702C75">
      <w:pPr>
        <w:pStyle w:val="Textkrper"/>
        <w:rPr>
          <w:lang w:val="ru-RU"/>
        </w:rPr>
      </w:pPr>
      <w:r w:rsidRPr="00764539">
        <w:rPr>
          <w:lang w:val="ru-RU"/>
        </w:rPr>
        <w:t>Д</w:t>
      </w:r>
      <w:r>
        <w:rPr>
          <w:lang w:val="ru-RU"/>
        </w:rPr>
        <w:t>ля упрощения моделирования принято допущение</w:t>
      </w:r>
      <w:r w:rsidRPr="00764539">
        <w:rPr>
          <w:lang w:val="ru-RU"/>
        </w:rPr>
        <w:t>, что между жидкостями не происходит химического взаимодействия, и каждая жидкость подается в чистом виде с объемной долей, равной единице, в соответствующем потоке.</w:t>
      </w:r>
    </w:p>
    <w:p w14:paraId="126C2C0F" w14:textId="77777777" w:rsidR="00702C75" w:rsidRPr="00F749EA" w:rsidRDefault="00702C75" w:rsidP="00702C75">
      <w:pPr>
        <w:pStyle w:val="Textkrper"/>
        <w:spacing w:after="0"/>
        <w:rPr>
          <w:lang w:val="ru-RU"/>
        </w:rPr>
      </w:pPr>
    </w:p>
    <w:p w14:paraId="1F6087E2" w14:textId="51FB995C" w:rsidR="004F04F2" w:rsidRPr="00702C75" w:rsidRDefault="00DB30DC" w:rsidP="000941C5">
      <w:pPr>
        <w:pStyle w:val="Textkrper"/>
        <w:spacing w:after="0"/>
        <w:ind w:firstLine="0"/>
        <w:rPr>
          <w:lang w:val="ru-RU"/>
        </w:rPr>
      </w:pPr>
      <w:r>
        <w:rPr>
          <w:lang w:val="ru-RU"/>
        </w:rPr>
        <w:t>Таблица</w:t>
      </w:r>
      <w:r w:rsidRPr="00702C75">
        <w:rPr>
          <w:lang w:val="ru-RU"/>
        </w:rPr>
        <w:t xml:space="preserve"> 1 </w:t>
      </w:r>
      <w:r w:rsidR="005347A2">
        <w:rPr>
          <w:lang w:val="ru-RU"/>
        </w:rPr>
        <w:t xml:space="preserve">– </w:t>
      </w:r>
      <w:r w:rsidR="005347A2" w:rsidRPr="00702C75">
        <w:rPr>
          <w:lang w:val="ru-RU"/>
        </w:rPr>
        <w:t>Параметры</w:t>
      </w:r>
      <w:r>
        <w:rPr>
          <w:lang w:val="ru-RU"/>
        </w:rPr>
        <w:t xml:space="preserve"> </w:t>
      </w:r>
      <w:r w:rsidRPr="00702C75">
        <w:rPr>
          <w:lang w:val="ru-RU"/>
        </w:rPr>
        <w:t>моделирования</w:t>
      </w:r>
    </w:p>
    <w:tbl>
      <w:tblPr>
        <w:tblStyle w:val="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68"/>
        <w:gridCol w:w="1948"/>
        <w:gridCol w:w="3526"/>
        <w:gridCol w:w="2763"/>
      </w:tblGrid>
      <w:tr w:rsidR="004F04F2" w:rsidRPr="00E1438A" w14:paraId="5899CDAB" w14:textId="77777777" w:rsidTr="00DB3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8" w:type="dxa"/>
            <w:tcBorders>
              <w:bottom w:val="none" w:sz="0" w:space="0" w:color="auto"/>
            </w:tcBorders>
            <w:vAlign w:val="center"/>
          </w:tcPr>
          <w:p w14:paraId="5549BD18" w14:textId="77777777" w:rsidR="004F04F2" w:rsidRPr="00764539" w:rsidRDefault="002609A7" w:rsidP="007C07C7">
            <w:pPr>
              <w:spacing w:after="0"/>
              <w:jc w:val="center"/>
            </w:pPr>
            <w:proofErr w:type="spellStart"/>
            <w:r w:rsidRPr="00764539">
              <w:t>Жидкость</w:t>
            </w:r>
            <w:proofErr w:type="spellEnd"/>
          </w:p>
        </w:tc>
        <w:tc>
          <w:tcPr>
            <w:tcW w:w="1948" w:type="dxa"/>
            <w:tcBorders>
              <w:bottom w:val="none" w:sz="0" w:space="0" w:color="auto"/>
            </w:tcBorders>
            <w:vAlign w:val="center"/>
          </w:tcPr>
          <w:p w14:paraId="08E83350" w14:textId="0A08A86A" w:rsidR="004F04F2" w:rsidRPr="00764539" w:rsidRDefault="002609A7" w:rsidP="007C07C7">
            <w:pPr>
              <w:spacing w:after="0"/>
              <w:jc w:val="center"/>
            </w:pPr>
            <w:proofErr w:type="spellStart"/>
            <w:r w:rsidRPr="00764539">
              <w:t>Плотность</w:t>
            </w:r>
            <w:proofErr w:type="spellEnd"/>
            <w:r w:rsidRPr="00764539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</m:oMath>
            <w:r w:rsidRPr="00764539">
              <w:t xml:space="preserve">, </w:t>
            </w:r>
            <m:oMath>
              <m:r>
                <w:rPr>
                  <w:rFonts w:ascii="Cambria Math" w:hAnsi="Cambria Math"/>
                </w:rPr>
                <m:t>кг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3526" w:type="dxa"/>
            <w:tcBorders>
              <w:bottom w:val="none" w:sz="0" w:space="0" w:color="auto"/>
            </w:tcBorders>
            <w:vAlign w:val="center"/>
          </w:tcPr>
          <w:p w14:paraId="4F0545A0" w14:textId="4F755EFE" w:rsidR="004F04F2" w:rsidRPr="00764539" w:rsidRDefault="002609A7" w:rsidP="007C07C7">
            <w:pPr>
              <w:spacing w:after="0"/>
              <w:jc w:val="center"/>
              <w:rPr>
                <w:lang w:val="ru-RU"/>
              </w:rPr>
            </w:pPr>
            <w:r w:rsidRPr="00764539">
              <w:rPr>
                <w:lang w:val="ru-RU"/>
              </w:rPr>
              <w:t xml:space="preserve">Динамическая вязкость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ν</m:t>
              </m:r>
            </m:oMath>
            <w:r w:rsidRPr="00764539">
              <w:rPr>
                <w:lang w:val="ru-RU"/>
              </w:rPr>
              <w:t xml:space="preserve">, </w:t>
            </w:r>
            <m:oMath>
              <m:r>
                <w:rPr>
                  <w:rFonts w:ascii="Cambria Math" w:hAnsi="Cambria Math"/>
                  <w:lang w:val="ru-RU"/>
                </w:rPr>
                <m:t>кг</m:t>
              </m:r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/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⋅</m:t>
                  </m:r>
                  <m:r>
                    <w:rPr>
                      <w:rFonts w:ascii="Cambria Math" w:hAnsi="Cambria Math"/>
                      <w:lang w:val="ru-RU"/>
                    </w:rPr>
                    <m:t>с</m:t>
                  </m:r>
                </m:e>
              </m:d>
            </m:oMath>
          </w:p>
        </w:tc>
        <w:tc>
          <w:tcPr>
            <w:tcW w:w="2763" w:type="dxa"/>
            <w:tcBorders>
              <w:bottom w:val="none" w:sz="0" w:space="0" w:color="auto"/>
            </w:tcBorders>
            <w:vAlign w:val="center"/>
          </w:tcPr>
          <w:p w14:paraId="184CE27E" w14:textId="77777777" w:rsidR="004F04F2" w:rsidRPr="00764539" w:rsidRDefault="002609A7" w:rsidP="007C07C7">
            <w:pPr>
              <w:spacing w:after="0"/>
              <w:jc w:val="center"/>
              <w:rPr>
                <w:lang w:val="ru-RU"/>
              </w:rPr>
            </w:pPr>
            <w:r w:rsidRPr="00764539">
              <w:rPr>
                <w:lang w:val="ru-RU"/>
              </w:rPr>
              <w:t xml:space="preserve">Объемный расход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 w:rsidRPr="00764539">
              <w:rPr>
                <w:lang w:val="ru-RU"/>
              </w:rPr>
              <w:t xml:space="preserve">, </w:t>
            </w:r>
            <m:oMath>
              <m:r>
                <w:rPr>
                  <w:rFonts w:ascii="Cambria Math" w:hAnsi="Cambria Math"/>
                  <w:lang w:val="ru-RU"/>
                </w:rPr>
                <m:t>м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/</m:t>
              </m:r>
              <m:r>
                <w:rPr>
                  <w:rFonts w:ascii="Cambria Math" w:hAnsi="Cambria Math"/>
                </w:rPr>
                <m:t>c</m:t>
              </m:r>
            </m:oMath>
          </w:p>
        </w:tc>
      </w:tr>
      <w:tr w:rsidR="004F04F2" w:rsidRPr="00764539" w14:paraId="70044F44" w14:textId="77777777" w:rsidTr="00DB30DC">
        <w:tc>
          <w:tcPr>
            <w:tcW w:w="1668" w:type="dxa"/>
            <w:vAlign w:val="center"/>
          </w:tcPr>
          <w:p w14:paraId="1F74076B" w14:textId="77777777" w:rsidR="004F04F2" w:rsidRPr="00764539" w:rsidRDefault="002609A7" w:rsidP="007C07C7">
            <w:pPr>
              <w:spacing w:after="0"/>
              <w:jc w:val="center"/>
            </w:pPr>
            <w:proofErr w:type="spellStart"/>
            <w:r w:rsidRPr="00764539">
              <w:t>Этанол</w:t>
            </w:r>
            <w:proofErr w:type="spellEnd"/>
          </w:p>
        </w:tc>
        <w:tc>
          <w:tcPr>
            <w:tcW w:w="1948" w:type="dxa"/>
            <w:vAlign w:val="center"/>
          </w:tcPr>
          <w:p w14:paraId="414D55BC" w14:textId="77777777" w:rsidR="004F04F2" w:rsidRPr="00764539" w:rsidRDefault="002609A7" w:rsidP="007C07C7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81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26" w:type="dxa"/>
            <w:vAlign w:val="center"/>
          </w:tcPr>
          <w:p w14:paraId="4EDEDA2C" w14:textId="77777777" w:rsidR="004F04F2" w:rsidRPr="00764539" w:rsidRDefault="002609A7" w:rsidP="007C07C7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63" w:type="dxa"/>
            <w:vAlign w:val="center"/>
          </w:tcPr>
          <w:p w14:paraId="5664B1C2" w14:textId="77777777" w:rsidR="004F04F2" w:rsidRPr="00764539" w:rsidRDefault="002609A7" w:rsidP="007C07C7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4F04F2" w:rsidRPr="00764539" w14:paraId="000AAE8C" w14:textId="77777777" w:rsidTr="00DB30DC">
        <w:tc>
          <w:tcPr>
            <w:tcW w:w="1668" w:type="dxa"/>
            <w:vAlign w:val="center"/>
          </w:tcPr>
          <w:p w14:paraId="7061E434" w14:textId="77777777" w:rsidR="004F04F2" w:rsidRPr="00764539" w:rsidRDefault="002609A7" w:rsidP="007C07C7">
            <w:pPr>
              <w:spacing w:after="0"/>
              <w:jc w:val="center"/>
            </w:pPr>
            <w:proofErr w:type="spellStart"/>
            <w:r w:rsidRPr="00764539">
              <w:t>Соевое</w:t>
            </w:r>
            <w:proofErr w:type="spellEnd"/>
            <w:r w:rsidRPr="00764539">
              <w:t xml:space="preserve"> </w:t>
            </w:r>
            <w:proofErr w:type="spellStart"/>
            <w:r w:rsidRPr="00764539">
              <w:t>масло</w:t>
            </w:r>
            <w:proofErr w:type="spellEnd"/>
          </w:p>
        </w:tc>
        <w:tc>
          <w:tcPr>
            <w:tcW w:w="1948" w:type="dxa"/>
            <w:vAlign w:val="center"/>
          </w:tcPr>
          <w:p w14:paraId="767C8C82" w14:textId="77777777" w:rsidR="004F04F2" w:rsidRPr="00764539" w:rsidRDefault="002609A7" w:rsidP="007C07C7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13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26" w:type="dxa"/>
            <w:vAlign w:val="center"/>
          </w:tcPr>
          <w:p w14:paraId="23274D8A" w14:textId="77777777" w:rsidR="004F04F2" w:rsidRPr="00764539" w:rsidRDefault="002609A7" w:rsidP="007C07C7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73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763" w:type="dxa"/>
            <w:vAlign w:val="center"/>
          </w:tcPr>
          <w:p w14:paraId="35D679C8" w14:textId="77777777" w:rsidR="004F04F2" w:rsidRPr="00764539" w:rsidRDefault="002609A7" w:rsidP="007C07C7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</w:tbl>
    <w:p w14:paraId="3ADED5BE" w14:textId="77777777" w:rsidR="0089489D" w:rsidRDefault="0089489D">
      <w:pPr>
        <w:pStyle w:val="Textkrper"/>
        <w:rPr>
          <w:lang w:val="ru-RU"/>
        </w:rPr>
      </w:pPr>
    </w:p>
    <w:p w14:paraId="596B1E1B" w14:textId="7A903D17" w:rsidR="00487A8B" w:rsidRDefault="00325CED" w:rsidP="00702C75">
      <w:pPr>
        <w:pStyle w:val="Textkrper"/>
        <w:spacing w:after="0"/>
        <w:rPr>
          <w:lang w:val="ru-RU"/>
        </w:rPr>
      </w:pPr>
      <w:r>
        <w:rPr>
          <w:lang w:val="ru-RU"/>
        </w:rPr>
        <w:lastRenderedPageBreak/>
        <w:t>Поскольку в начальный момент времени проведения вычислительного эксперимента начинается заполнение микрореактора жидкостями, на первом шаге важно определить момент наступления стационарного режима в реакторе. Для этого</w:t>
      </w:r>
      <w:r w:rsidR="002609A7" w:rsidRPr="00764539">
        <w:rPr>
          <w:lang w:val="ru-RU"/>
        </w:rPr>
        <w:t xml:space="preserve"> </w:t>
      </w:r>
      <w:r w:rsidR="0049466A">
        <w:rPr>
          <w:lang w:val="ru-RU"/>
        </w:rPr>
        <w:t>и</w:t>
      </w:r>
      <w:r w:rsidR="0009084E">
        <w:rPr>
          <w:lang w:val="ru-RU"/>
        </w:rPr>
        <w:t>сследовали</w:t>
      </w:r>
      <w:r w:rsidR="002609A7" w:rsidRPr="00764539">
        <w:rPr>
          <w:lang w:val="ru-RU"/>
        </w:rPr>
        <w:t xml:space="preserve"> </w:t>
      </w:r>
      <w:r w:rsidR="00665B57">
        <w:rPr>
          <w:lang w:val="ru-RU"/>
        </w:rPr>
        <w:t>зависимост</w:t>
      </w:r>
      <w:r w:rsidR="0009084E">
        <w:rPr>
          <w:lang w:val="ru-RU"/>
        </w:rPr>
        <w:t>ь</w:t>
      </w:r>
      <w:r w:rsidR="00665B57">
        <w:rPr>
          <w:lang w:val="ru-RU"/>
        </w:rPr>
        <w:t xml:space="preserve"> </w:t>
      </w:r>
      <w:r w:rsidR="002609A7" w:rsidRPr="00764539">
        <w:rPr>
          <w:lang w:val="ru-RU"/>
        </w:rPr>
        <w:t>средней объемной доли этанола на выходе</w:t>
      </w:r>
      <w:r w:rsidR="00665B57">
        <w:rPr>
          <w:lang w:val="ru-RU"/>
        </w:rPr>
        <w:t xml:space="preserve"> и ее приращения от времени</w:t>
      </w:r>
      <w:r w:rsidR="002609A7" w:rsidRPr="00764539">
        <w:rPr>
          <w:lang w:val="ru-RU"/>
        </w:rPr>
        <w:t>.</w:t>
      </w:r>
      <w:r w:rsidR="00665B57">
        <w:rPr>
          <w:lang w:val="ru-RU"/>
        </w:rPr>
        <w:t xml:space="preserve"> </w:t>
      </w:r>
      <w:r w:rsidR="002609A7" w:rsidRPr="00764539">
        <w:rPr>
          <w:lang w:val="ru-RU"/>
        </w:rPr>
        <w:t xml:space="preserve">Под выходом здесь понимается конец расчетной области, </w:t>
      </w:r>
      <w:r w:rsidR="00764539" w:rsidRPr="00764539">
        <w:rPr>
          <w:lang w:val="ru-RU"/>
        </w:rPr>
        <w:t>т.е.</w:t>
      </w:r>
      <w:r w:rsidR="002609A7" w:rsidRPr="00764539">
        <w:rPr>
          <w:lang w:val="ru-RU"/>
        </w:rPr>
        <w:t xml:space="preserve"> </w:t>
      </w:r>
      <w:r w:rsidR="002512CB">
        <w:rPr>
          <w:lang w:val="ru-RU"/>
        </w:rPr>
        <w:t xml:space="preserve">выбранной </w:t>
      </w:r>
      <w:r w:rsidR="0049466A">
        <w:rPr>
          <w:lang w:val="ru-RU"/>
        </w:rPr>
        <w:t>области микрореактора</w:t>
      </w:r>
      <w:r w:rsidR="00665B57">
        <w:rPr>
          <w:lang w:val="ru-RU"/>
        </w:rPr>
        <w:t>.</w:t>
      </w:r>
    </w:p>
    <w:p w14:paraId="34BD3500" w14:textId="7F14984E" w:rsidR="004F04F2" w:rsidRPr="00764539" w:rsidRDefault="00487A8B" w:rsidP="00702C75">
      <w:pPr>
        <w:pStyle w:val="Textkrper"/>
        <w:spacing w:after="0"/>
        <w:rPr>
          <w:lang w:val="ru-RU"/>
        </w:rPr>
      </w:pPr>
      <w:r>
        <w:rPr>
          <w:lang w:val="ru-RU"/>
        </w:rPr>
        <w:t>Д</w:t>
      </w:r>
      <w:r w:rsidR="00C42EC2">
        <w:rPr>
          <w:lang w:val="ru-RU"/>
        </w:rPr>
        <w:t>анные аппроксимирова</w:t>
      </w:r>
      <w:r w:rsidR="0009084E">
        <w:rPr>
          <w:lang w:val="ru-RU"/>
        </w:rPr>
        <w:t>ли</w:t>
      </w:r>
      <w:r w:rsidR="00C42EC2">
        <w:rPr>
          <w:lang w:val="ru-RU"/>
        </w:rPr>
        <w:t xml:space="preserve"> полиномом 4-го порядка.</w:t>
      </w:r>
      <w:r>
        <w:rPr>
          <w:lang w:val="ru-RU"/>
        </w:rPr>
        <w:t xml:space="preserve"> </w:t>
      </w:r>
      <w:r w:rsidR="0009084E">
        <w:rPr>
          <w:lang w:val="ru-RU"/>
        </w:rPr>
        <w:t>Н</w:t>
      </w:r>
      <w:r w:rsidRPr="00764539">
        <w:rPr>
          <w:lang w:val="ru-RU"/>
        </w:rPr>
        <w:t xml:space="preserve">а рисунке </w:t>
      </w:r>
      <w:r w:rsidR="00CE5D10">
        <w:rPr>
          <w:lang w:val="ru-RU"/>
        </w:rPr>
        <w:t>2</w:t>
      </w:r>
      <w:r>
        <w:rPr>
          <w:lang w:val="ru-RU"/>
        </w:rPr>
        <w:t xml:space="preserve"> </w:t>
      </w:r>
      <w:r w:rsidR="00CA1728">
        <w:rPr>
          <w:lang w:val="ru-RU"/>
        </w:rPr>
        <w:t xml:space="preserve">показаны графики зависимости объемной доли этанола и ее приращение на выходе микроканала от времени при температуре 30 </w:t>
      </w:r>
      <m:oMath>
        <m:r>
          <m:rPr>
            <m:sty m:val="p"/>
          </m:rPr>
          <w:rPr>
            <w:rFonts w:ascii="Cambria Math" w:hAnsi="Cambria Math"/>
            <w:lang w:val="ru-RU"/>
          </w:rPr>
          <m:t>°C</m:t>
        </m:r>
      </m:oMath>
      <w:r w:rsidR="00CA1728">
        <w:rPr>
          <w:rFonts w:eastAsiaTheme="minorEastAsia"/>
          <w:lang w:val="ru-RU"/>
        </w:rPr>
        <w:t xml:space="preserve"> и объемном соотношении этанола к соевому маслу 10</w:t>
      </w:r>
      <w:r w:rsidR="00CA1728" w:rsidRPr="00CA1728">
        <w:rPr>
          <w:rFonts w:eastAsiaTheme="minorEastAsia"/>
          <w:lang w:val="ru-RU"/>
        </w:rPr>
        <w:t>,5:1</w:t>
      </w:r>
      <w:r w:rsidR="00CA1728">
        <w:rPr>
          <w:rFonts w:eastAsiaTheme="minorEastAsia"/>
          <w:lang w:val="ru-RU"/>
        </w:rPr>
        <w:t xml:space="preserve">. </w:t>
      </w:r>
      <w:r w:rsidR="00CA1728">
        <w:rPr>
          <w:lang w:val="ru-RU"/>
        </w:rPr>
        <w:t xml:space="preserve">Из рисунка 2 (б) можно сделать вывод, </w:t>
      </w:r>
      <w:r w:rsidRPr="00764539">
        <w:rPr>
          <w:lang w:val="ru-RU"/>
        </w:rPr>
        <w:t>что к</w:t>
      </w:r>
      <w:r w:rsidR="00326E4C">
        <w:rPr>
          <w:lang w:val="ru-RU"/>
        </w:rPr>
        <w:t>олебания объемной доли</w:t>
      </w:r>
      <w:r w:rsidRPr="00764539">
        <w:rPr>
          <w:lang w:val="ru-RU"/>
        </w:rPr>
        <w:t xml:space="preserve"> за</w:t>
      </w:r>
      <w:r w:rsidR="00326E4C">
        <w:rPr>
          <w:lang w:val="ru-RU"/>
        </w:rPr>
        <w:t>тухают</w:t>
      </w:r>
      <w:r w:rsidRPr="00764539">
        <w:rPr>
          <w:lang w:val="ru-RU"/>
        </w:rPr>
        <w:t xml:space="preserve"> в окрестности 3</w:t>
      </w:r>
      <w:r>
        <w:rPr>
          <w:lang w:val="ru-RU"/>
        </w:rPr>
        <w:t>0</w:t>
      </w:r>
      <w:r w:rsidRPr="00764539">
        <w:rPr>
          <w:lang w:val="ru-RU"/>
        </w:rPr>
        <w:t xml:space="preserve"> секунд,</w:t>
      </w:r>
      <w:r>
        <w:rPr>
          <w:lang w:val="ru-RU"/>
        </w:rPr>
        <w:t xml:space="preserve"> </w:t>
      </w:r>
      <w:r w:rsidRPr="00764539">
        <w:rPr>
          <w:lang w:val="ru-RU"/>
        </w:rPr>
        <w:t xml:space="preserve">эту точку и будем считать за время наступления </w:t>
      </w:r>
      <w:r w:rsidR="00A05196">
        <w:rPr>
          <w:lang w:val="ru-RU"/>
        </w:rPr>
        <w:t>стационарного</w:t>
      </w:r>
      <w:r w:rsidRPr="00764539">
        <w:rPr>
          <w:lang w:val="ru-RU"/>
        </w:rPr>
        <w:t xml:space="preserve"> режима.</w:t>
      </w:r>
    </w:p>
    <w:p w14:paraId="59A71332" w14:textId="77777777" w:rsidR="004F04F2" w:rsidRDefault="002609A7" w:rsidP="00CA30E2">
      <w:pPr>
        <w:pStyle w:val="CaptionedFigure"/>
        <w:spacing w:after="0"/>
        <w:jc w:val="center"/>
      </w:pPr>
      <w:r>
        <w:rPr>
          <w:noProof/>
          <w:lang w:val="ru-RU" w:eastAsia="ru-RU"/>
        </w:rPr>
        <w:drawing>
          <wp:inline distT="0" distB="0" distL="0" distR="0" wp14:anchorId="5B7BD19D" wp14:editId="33A2ADA5">
            <wp:extent cx="6345277" cy="4231741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77" cy="4231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848F7" w14:textId="1C33CFFE" w:rsidR="004F04F2" w:rsidRPr="00665B57" w:rsidRDefault="002609A7" w:rsidP="00BC0023">
      <w:pPr>
        <w:pStyle w:val="Textkrper"/>
        <w:jc w:val="center"/>
        <w:rPr>
          <w:lang w:val="ru-RU"/>
        </w:rPr>
      </w:pPr>
      <w:r w:rsidRPr="00665B57">
        <w:rPr>
          <w:lang w:val="ru-RU"/>
        </w:rPr>
        <w:t xml:space="preserve">Рисунок </w:t>
      </w:r>
      <w:r w:rsidR="00CE5D10">
        <w:rPr>
          <w:lang w:val="ru-RU"/>
        </w:rPr>
        <w:t>2</w:t>
      </w:r>
      <w:r w:rsidRPr="00665B57">
        <w:rPr>
          <w:lang w:val="ru-RU"/>
        </w:rPr>
        <w:t xml:space="preserve"> </w:t>
      </w:r>
      <w:r w:rsidR="00325CED">
        <w:rPr>
          <w:rFonts w:cs="Times New Roman"/>
          <w:lang w:val="ru-RU"/>
        </w:rPr>
        <w:t>−</w:t>
      </w:r>
      <w:r w:rsidRPr="00665B57">
        <w:rPr>
          <w:lang w:val="ru-RU"/>
        </w:rPr>
        <w:t xml:space="preserve"> </w:t>
      </w:r>
      <w:r w:rsidR="00665B57">
        <w:rPr>
          <w:lang w:val="ru-RU"/>
        </w:rPr>
        <w:t>З</w:t>
      </w:r>
      <w:r w:rsidRPr="00665B57">
        <w:rPr>
          <w:lang w:val="ru-RU"/>
        </w:rPr>
        <w:t>ависимос</w:t>
      </w:r>
      <w:r w:rsidR="00665B57">
        <w:rPr>
          <w:lang w:val="ru-RU"/>
        </w:rPr>
        <w:t>ть</w:t>
      </w:r>
      <w:r w:rsidRPr="00665B57">
        <w:rPr>
          <w:lang w:val="ru-RU"/>
        </w:rPr>
        <w:t xml:space="preserve"> объемной доли этанола на выходе</w:t>
      </w:r>
      <w:r w:rsidR="00BC0023" w:rsidRPr="00BC0023">
        <w:rPr>
          <w:lang w:val="ru-RU"/>
        </w:rPr>
        <w:t xml:space="preserve"> </w:t>
      </w:r>
      <w:r w:rsidR="00665B57" w:rsidRPr="00665B57">
        <w:rPr>
          <w:lang w:val="ru-RU"/>
        </w:rPr>
        <w:t>(а)</w:t>
      </w:r>
      <w:r w:rsidR="00665B57">
        <w:rPr>
          <w:lang w:val="ru-RU"/>
        </w:rPr>
        <w:t xml:space="preserve"> и ее </w:t>
      </w:r>
      <w:r w:rsidR="00665B57" w:rsidRPr="00665B57">
        <w:rPr>
          <w:lang w:val="ru-RU"/>
        </w:rPr>
        <w:t>приращени</w:t>
      </w:r>
      <w:r w:rsidR="00665B57">
        <w:rPr>
          <w:lang w:val="ru-RU"/>
        </w:rPr>
        <w:t xml:space="preserve">я </w:t>
      </w:r>
      <w:r w:rsidR="00665B57" w:rsidRPr="00665B57">
        <w:rPr>
          <w:lang w:val="ru-RU"/>
        </w:rPr>
        <w:t xml:space="preserve">(б) </w:t>
      </w:r>
      <w:r w:rsidR="00665B57">
        <w:rPr>
          <w:lang w:val="ru-RU"/>
        </w:rPr>
        <w:t>от времени</w:t>
      </w:r>
      <w:r w:rsidR="00CA1728">
        <w:rPr>
          <w:lang w:val="ru-RU"/>
        </w:rPr>
        <w:t xml:space="preserve"> при температуре 30 </w:t>
      </w:r>
      <m:oMath>
        <m:r>
          <m:rPr>
            <m:sty m:val="p"/>
          </m:rPr>
          <w:rPr>
            <w:rFonts w:ascii="Cambria Math" w:hAnsi="Cambria Math"/>
            <w:lang w:val="ru-RU"/>
          </w:rPr>
          <m:t>°C</m:t>
        </m:r>
      </m:oMath>
      <w:r w:rsidR="00CA1728">
        <w:rPr>
          <w:rFonts w:eastAsiaTheme="minorEastAsia"/>
          <w:lang w:val="ru-RU"/>
        </w:rPr>
        <w:t xml:space="preserve"> и объемном соотношении этанола к соевому маслу 10</w:t>
      </w:r>
      <w:r w:rsidR="00CA1728" w:rsidRPr="00CA1728">
        <w:rPr>
          <w:rFonts w:eastAsiaTheme="minorEastAsia"/>
          <w:lang w:val="ru-RU"/>
        </w:rPr>
        <w:t>,5:1</w:t>
      </w:r>
    </w:p>
    <w:p w14:paraId="551D8B9A" w14:textId="2CC417E8" w:rsidR="0039472A" w:rsidRPr="00764539" w:rsidRDefault="0039472A" w:rsidP="00702C75">
      <w:pPr>
        <w:pStyle w:val="Textkrper"/>
        <w:spacing w:after="0"/>
        <w:ind w:firstLine="851"/>
        <w:rPr>
          <w:lang w:val="ru-RU"/>
        </w:rPr>
      </w:pPr>
      <w:r w:rsidRPr="00764539">
        <w:rPr>
          <w:lang w:val="ru-RU"/>
        </w:rPr>
        <w:t xml:space="preserve">Для определения оптимального режима </w:t>
      </w:r>
      <w:r>
        <w:rPr>
          <w:lang w:val="ru-RU"/>
        </w:rPr>
        <w:t xml:space="preserve">смешения </w:t>
      </w:r>
      <w:r w:rsidR="00325CED">
        <w:rPr>
          <w:lang w:val="ru-RU"/>
        </w:rPr>
        <w:t>сформулировали</w:t>
      </w:r>
      <w:r w:rsidRPr="00764539">
        <w:rPr>
          <w:lang w:val="ru-RU"/>
        </w:rPr>
        <w:t xml:space="preserve"> критерий оптимизации</w:t>
      </w:r>
      <w:r w:rsidR="00325CED">
        <w:rPr>
          <w:lang w:val="ru-RU"/>
        </w:rPr>
        <w:t xml:space="preserve"> в виде </w:t>
      </w:r>
      <w:r w:rsidRPr="00764539">
        <w:rPr>
          <w:lang w:val="ru-RU"/>
        </w:rPr>
        <w:t>площад</w:t>
      </w:r>
      <w:r w:rsidR="00325CED">
        <w:rPr>
          <w:lang w:val="ru-RU"/>
        </w:rPr>
        <w:t>и</w:t>
      </w:r>
      <w:r w:rsidRPr="00764539">
        <w:rPr>
          <w:lang w:val="ru-RU"/>
        </w:rPr>
        <w:t xml:space="preserve"> границы раздела </w:t>
      </w:r>
      <w:r w:rsidR="003027AE">
        <w:rPr>
          <w:lang w:val="ru-RU"/>
        </w:rPr>
        <w:t xml:space="preserve">между </w:t>
      </w:r>
      <w:r w:rsidR="00B864D4">
        <w:rPr>
          <w:lang w:val="ru-RU"/>
        </w:rPr>
        <w:t xml:space="preserve">соевым </w:t>
      </w:r>
      <w:r w:rsidR="003027AE">
        <w:rPr>
          <w:lang w:val="ru-RU"/>
        </w:rPr>
        <w:t>маслом и этанолом</w:t>
      </w:r>
      <w:r w:rsidRPr="00764539">
        <w:rPr>
          <w:lang w:val="ru-RU"/>
        </w:rPr>
        <w:t>. Границей</w:t>
      </w:r>
      <w:r w:rsidR="00325CED">
        <w:rPr>
          <w:lang w:val="ru-RU"/>
        </w:rPr>
        <w:t xml:space="preserve"> считали </w:t>
      </w:r>
      <w:r w:rsidRPr="00764539">
        <w:rPr>
          <w:lang w:val="ru-RU"/>
        </w:rPr>
        <w:t xml:space="preserve"> область с объемной долей вещества в интервале от 0,49 до 0,51</w:t>
      </w:r>
      <w:r w:rsidR="008F2BC6">
        <w:rPr>
          <w:lang w:val="ru-RU"/>
        </w:rPr>
        <w:t xml:space="preserve"> (рисуок 1в)</w:t>
      </w:r>
      <w:r w:rsidRPr="00764539">
        <w:rPr>
          <w:lang w:val="ru-RU"/>
        </w:rPr>
        <w:t xml:space="preserve">. Рассмотрение площади происходит </w:t>
      </w:r>
      <w:r w:rsidR="009978E5">
        <w:rPr>
          <w:lang w:val="ru-RU"/>
        </w:rPr>
        <w:t>после наступления</w:t>
      </w:r>
      <w:r w:rsidRPr="00764539">
        <w:rPr>
          <w:lang w:val="ru-RU"/>
        </w:rPr>
        <w:t xml:space="preserve"> </w:t>
      </w:r>
      <w:r w:rsidR="00A05196">
        <w:rPr>
          <w:lang w:val="ru-RU"/>
        </w:rPr>
        <w:t>стационарно</w:t>
      </w:r>
      <w:r w:rsidR="009978E5">
        <w:rPr>
          <w:lang w:val="ru-RU"/>
        </w:rPr>
        <w:t>го</w:t>
      </w:r>
      <w:r w:rsidRPr="00764539">
        <w:rPr>
          <w:lang w:val="ru-RU"/>
        </w:rPr>
        <w:t xml:space="preserve"> режим</w:t>
      </w:r>
      <w:r w:rsidR="009978E5">
        <w:rPr>
          <w:lang w:val="ru-RU"/>
        </w:rPr>
        <w:t>а</w:t>
      </w:r>
      <w:r w:rsidRPr="00764539">
        <w:rPr>
          <w:lang w:val="ru-RU"/>
        </w:rPr>
        <w:t>.</w:t>
      </w:r>
    </w:p>
    <w:p w14:paraId="1A7F0963" w14:textId="4C4E4C10" w:rsidR="00CE5D10" w:rsidRDefault="002609A7" w:rsidP="00702C75">
      <w:pPr>
        <w:pStyle w:val="Textkrper"/>
        <w:spacing w:after="0"/>
        <w:rPr>
          <w:lang w:val="ru-RU"/>
        </w:rPr>
      </w:pPr>
      <w:r w:rsidRPr="00764539">
        <w:rPr>
          <w:lang w:val="ru-RU"/>
        </w:rPr>
        <w:t xml:space="preserve">В </w:t>
      </w:r>
      <w:proofErr w:type="spellStart"/>
      <w:r>
        <w:t>ParaView</w:t>
      </w:r>
      <w:proofErr w:type="spellEnd"/>
      <w:r w:rsidRPr="00764539">
        <w:rPr>
          <w:lang w:val="ru-RU"/>
        </w:rPr>
        <w:t xml:space="preserve"> с помощью последовательности фильтров </w:t>
      </w:r>
      <w:proofErr w:type="spellStart"/>
      <w:r>
        <w:t>isoVolume</w:t>
      </w:r>
      <w:proofErr w:type="spellEnd"/>
      <w:r w:rsidRPr="00764539">
        <w:rPr>
          <w:lang w:val="ru-RU"/>
        </w:rPr>
        <w:t xml:space="preserve"> для </w:t>
      </w:r>
      <w:r>
        <w:t>alpha</w:t>
      </w:r>
      <w:r w:rsidRPr="00764539">
        <w:rPr>
          <w:lang w:val="ru-RU"/>
        </w:rPr>
        <w:t>.</w:t>
      </w:r>
      <w:r>
        <w:t>Ethanol</w:t>
      </w:r>
      <w:r w:rsidRPr="00764539">
        <w:rPr>
          <w:lang w:val="ru-RU"/>
        </w:rPr>
        <w:t xml:space="preserve"> (объемная доля этанола в ячейке), </w:t>
      </w:r>
      <w:proofErr w:type="spellStart"/>
      <w:r>
        <w:t>extractSurface</w:t>
      </w:r>
      <w:proofErr w:type="spellEnd"/>
      <w:r w:rsidRPr="00764539">
        <w:rPr>
          <w:lang w:val="ru-RU"/>
        </w:rPr>
        <w:t xml:space="preserve"> и </w:t>
      </w:r>
      <w:proofErr w:type="spellStart"/>
      <w:r>
        <w:t>integrateVariable</w:t>
      </w:r>
      <w:proofErr w:type="spellEnd"/>
      <w:r w:rsidRPr="00764539">
        <w:rPr>
          <w:lang w:val="ru-RU"/>
        </w:rPr>
        <w:t xml:space="preserve"> </w:t>
      </w:r>
      <w:r w:rsidR="009978E5">
        <w:rPr>
          <w:lang w:val="ru-RU"/>
        </w:rPr>
        <w:t>вычислили</w:t>
      </w:r>
      <w:r w:rsidRPr="00764539">
        <w:rPr>
          <w:lang w:val="ru-RU"/>
        </w:rPr>
        <w:t xml:space="preserve"> площадь границы раздела фаз</w:t>
      </w:r>
      <w:r w:rsidR="00177E45">
        <w:rPr>
          <w:lang w:val="ru-RU"/>
        </w:rPr>
        <w:t xml:space="preserve"> равн</w:t>
      </w:r>
      <w:r w:rsidR="009978E5">
        <w:rPr>
          <w:lang w:val="ru-RU"/>
        </w:rPr>
        <w:t>ую</w:t>
      </w:r>
      <w:r w:rsidR="00177E45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 xml:space="preserve">57,13 </m:t>
        </m:r>
        <m:r>
          <w:rPr>
            <w:rFonts w:ascii="Cambria Math" w:eastAsiaTheme="minorEastAsia" w:hAnsi="Cambria Math"/>
            <w:lang w:val="ru-RU"/>
          </w:rPr>
          <m:t>м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м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Pr="00764539">
        <w:rPr>
          <w:lang w:val="ru-RU"/>
        </w:rPr>
        <w:t>.</w:t>
      </w:r>
      <w:r w:rsidR="009978E5">
        <w:rPr>
          <w:lang w:val="ru-RU"/>
        </w:rPr>
        <w:t xml:space="preserve"> Ожидается, что ее значение будет изменяться в зачисимости от условий смешения этанола и масла.</w:t>
      </w:r>
    </w:p>
    <w:p w14:paraId="3ECFAB41" w14:textId="30536BA5" w:rsidR="004F04F2" w:rsidRDefault="002609A7" w:rsidP="00702C75">
      <w:pPr>
        <w:pStyle w:val="Textkrper"/>
        <w:spacing w:after="0"/>
        <w:ind w:firstLine="720"/>
        <w:rPr>
          <w:lang w:val="ru-RU"/>
        </w:rPr>
      </w:pPr>
      <w:r w:rsidRPr="00764539">
        <w:rPr>
          <w:lang w:val="ru-RU"/>
        </w:rPr>
        <w:t xml:space="preserve">В данной работе </w:t>
      </w:r>
      <w:r w:rsidR="009978E5">
        <w:rPr>
          <w:lang w:val="ru-RU"/>
        </w:rPr>
        <w:t xml:space="preserve">показано применение библиотеки </w:t>
      </w:r>
      <w:r w:rsidR="009978E5" w:rsidRPr="009978E5">
        <w:rPr>
          <w:lang w:val="ru-RU"/>
        </w:rPr>
        <w:t xml:space="preserve">OpenFOAM </w:t>
      </w:r>
      <w:r w:rsidR="009978E5">
        <w:rPr>
          <w:lang w:val="ru-RU"/>
        </w:rPr>
        <w:t>для</w:t>
      </w:r>
      <w:r w:rsidRPr="00764539">
        <w:rPr>
          <w:lang w:val="ru-RU"/>
        </w:rPr>
        <w:t xml:space="preserve"> </w:t>
      </w:r>
      <w:r w:rsidR="00CA1728">
        <w:rPr>
          <w:lang w:val="ru-RU"/>
        </w:rPr>
        <w:t xml:space="preserve">смешения </w:t>
      </w:r>
      <w:r w:rsidRPr="00764539">
        <w:rPr>
          <w:lang w:val="ru-RU"/>
        </w:rPr>
        <w:t xml:space="preserve">соевого масла и этанола </w:t>
      </w:r>
      <w:r w:rsidR="009978E5">
        <w:rPr>
          <w:lang w:val="ru-RU"/>
        </w:rPr>
        <w:t>в микрореакторе</w:t>
      </w:r>
      <w:r w:rsidRPr="00764539">
        <w:rPr>
          <w:lang w:val="ru-RU"/>
        </w:rPr>
        <w:t>.</w:t>
      </w:r>
      <w:r w:rsidR="00CE5D10">
        <w:rPr>
          <w:lang w:val="ru-RU"/>
        </w:rPr>
        <w:t xml:space="preserve"> Используя графики зависимости объемной доли этанола от времени было установлено</w:t>
      </w:r>
      <w:r w:rsidR="00FC08D1">
        <w:rPr>
          <w:lang w:val="ru-RU"/>
        </w:rPr>
        <w:t xml:space="preserve"> </w:t>
      </w:r>
      <w:r w:rsidR="00CE5D10">
        <w:rPr>
          <w:lang w:val="ru-RU"/>
        </w:rPr>
        <w:t>время наступления стационарного режима</w:t>
      </w:r>
      <w:r w:rsidR="00E1438A">
        <w:rPr>
          <w:lang w:val="ru-RU"/>
        </w:rPr>
        <w:t>, которое</w:t>
      </w:r>
      <w:r w:rsidR="00CE5D10">
        <w:rPr>
          <w:lang w:val="ru-RU"/>
        </w:rPr>
        <w:t xml:space="preserve"> позволило </w:t>
      </w:r>
      <w:r w:rsidR="00CE5D10">
        <w:rPr>
          <w:lang w:val="ru-RU"/>
        </w:rPr>
        <w:lastRenderedPageBreak/>
        <w:t xml:space="preserve">сократить время моделирования. С помощью </w:t>
      </w:r>
      <w:proofErr w:type="spellStart"/>
      <w:r w:rsidR="00CE5D10">
        <w:t>ParaView</w:t>
      </w:r>
      <w:proofErr w:type="spellEnd"/>
      <w:r w:rsidR="00CE5D10">
        <w:rPr>
          <w:lang w:val="ru-RU"/>
        </w:rPr>
        <w:t xml:space="preserve">, </w:t>
      </w:r>
      <w:r w:rsidR="00827371">
        <w:rPr>
          <w:lang w:val="ru-RU"/>
        </w:rPr>
        <w:t>после</w:t>
      </w:r>
      <w:r w:rsidR="00CE5D10">
        <w:rPr>
          <w:lang w:val="ru-RU"/>
        </w:rPr>
        <w:t xml:space="preserve"> наступления стационарного режима, </w:t>
      </w:r>
      <w:r w:rsidR="00827371">
        <w:rPr>
          <w:lang w:val="ru-RU"/>
        </w:rPr>
        <w:t>определили</w:t>
      </w:r>
      <w:r w:rsidR="00CE5D10">
        <w:rPr>
          <w:lang w:val="ru-RU"/>
        </w:rPr>
        <w:t xml:space="preserve"> площадь границы раздела фаз</w:t>
      </w:r>
      <w:r w:rsidR="00CE5D10" w:rsidRPr="00CE5D10">
        <w:rPr>
          <w:rFonts w:eastAsiaTheme="minorEastAsia"/>
          <w:lang w:val="ru-RU"/>
        </w:rPr>
        <w:t>.</w:t>
      </w:r>
      <w:r w:rsidR="00CE5D10">
        <w:rPr>
          <w:lang w:val="ru-RU"/>
        </w:rPr>
        <w:t xml:space="preserve"> </w:t>
      </w:r>
    </w:p>
    <w:p w14:paraId="05A73F32" w14:textId="7E98326E" w:rsidR="004F04F2" w:rsidRDefault="001A1048" w:rsidP="00702C75">
      <w:pPr>
        <w:pStyle w:val="Textkrper"/>
        <w:spacing w:after="0"/>
        <w:rPr>
          <w:lang w:val="ru-RU"/>
        </w:rPr>
      </w:pPr>
      <w:r>
        <w:rPr>
          <w:lang w:val="ru-RU"/>
        </w:rPr>
        <w:t xml:space="preserve">Возможно </w:t>
      </w:r>
      <w:r w:rsidRPr="007D43E5">
        <w:rPr>
          <w:lang w:val="ru-RU"/>
        </w:rPr>
        <w:t>дальнейшее проведение исследований</w:t>
      </w:r>
      <w:r w:rsidR="002609A7" w:rsidRPr="007D43E5">
        <w:rPr>
          <w:lang w:val="ru-RU"/>
        </w:rPr>
        <w:t xml:space="preserve"> в данной области с использованием различных солверов или программного обеспечения. Кроме того, остается свобода выбора генератора сетки и его параметров, критериев оптимизации, а также свойств жидкости и объекта, которые могут быть учтены при моделировании. Это позволяет настраивать и адаптировать моделирование под конкретные условия и требования исследования.</w:t>
      </w:r>
    </w:p>
    <w:p w14:paraId="327F6FAD" w14:textId="77777777" w:rsidR="00EC63F4" w:rsidRPr="00764539" w:rsidRDefault="00EC63F4">
      <w:pPr>
        <w:pStyle w:val="Textkrper"/>
        <w:rPr>
          <w:lang w:val="ru-RU"/>
        </w:rPr>
      </w:pPr>
    </w:p>
    <w:p w14:paraId="7C300234" w14:textId="72096FA4" w:rsidR="004F04F2" w:rsidRPr="00EC63F4" w:rsidRDefault="00521BEB" w:rsidP="00BC0023">
      <w:pPr>
        <w:pStyle w:val="berschrift2"/>
        <w:spacing w:after="240"/>
        <w:jc w:val="center"/>
        <w:rPr>
          <w:sz w:val="24"/>
          <w:szCs w:val="24"/>
          <w:lang w:val="ru-RU"/>
        </w:rPr>
      </w:pPr>
      <w:bookmarkStart w:id="1" w:name="список-литературы"/>
      <w:r w:rsidRPr="00EC63F4">
        <w:rPr>
          <w:sz w:val="24"/>
          <w:szCs w:val="24"/>
        </w:rPr>
        <w:t xml:space="preserve">СПИСОК </w:t>
      </w:r>
      <w:r w:rsidR="00F23779" w:rsidRPr="00EC63F4">
        <w:rPr>
          <w:sz w:val="24"/>
          <w:szCs w:val="24"/>
          <w:lang w:val="ru-RU"/>
        </w:rPr>
        <w:t>ЛИТЕРАТУРЫ</w:t>
      </w:r>
    </w:p>
    <w:p w14:paraId="58D18910" w14:textId="13125566" w:rsidR="004F04F2" w:rsidRPr="00764539" w:rsidRDefault="002609A7" w:rsidP="00DF4F96">
      <w:pPr>
        <w:pStyle w:val="Compact"/>
        <w:numPr>
          <w:ilvl w:val="0"/>
          <w:numId w:val="2"/>
        </w:numPr>
        <w:spacing w:before="0" w:after="0"/>
        <w:ind w:left="426" w:hanging="426"/>
        <w:jc w:val="left"/>
        <w:rPr>
          <w:lang w:val="ru-RU"/>
        </w:rPr>
      </w:pPr>
      <w:r w:rsidRPr="00764539">
        <w:rPr>
          <w:lang w:val="ru-RU"/>
        </w:rPr>
        <w:t xml:space="preserve">Боровинская, Е. С. Микроструктурные реакторы - концепции, развитие и применение / Е. С. Боровинская, В. П. Решетиловский // Химическая промышленность. – 2008. – Т. 85, </w:t>
      </w:r>
      <w:r w:rsidR="00BC0023">
        <w:rPr>
          <w:lang w:val="ru-RU"/>
        </w:rPr>
        <w:br/>
      </w:r>
      <w:r w:rsidRPr="00764539">
        <w:rPr>
          <w:lang w:val="ru-RU"/>
        </w:rPr>
        <w:t>№ 5. – С. 1-31.</w:t>
      </w:r>
    </w:p>
    <w:p w14:paraId="79841488" w14:textId="77777777" w:rsidR="004F04F2" w:rsidRPr="00764539" w:rsidRDefault="002609A7" w:rsidP="00DF4F96">
      <w:pPr>
        <w:pStyle w:val="Compact"/>
        <w:numPr>
          <w:ilvl w:val="0"/>
          <w:numId w:val="2"/>
        </w:numPr>
        <w:spacing w:before="0" w:after="0"/>
        <w:ind w:left="426" w:hanging="426"/>
        <w:jc w:val="left"/>
        <w:rPr>
          <w:lang w:val="ru-RU"/>
        </w:rPr>
      </w:pPr>
      <w:r w:rsidRPr="00764539">
        <w:rPr>
          <w:lang w:val="ru-RU"/>
        </w:rPr>
        <w:t>Боровинская, Е. С. Перспективы интенсификации гетерогенных процессов в микрореакторах / Е. С. Боровинская, В. П. Решетиловский // Российский химический журнал. – 2011. – № 2. – С. 78-79.</w:t>
      </w:r>
    </w:p>
    <w:p w14:paraId="43D42FF7" w14:textId="12EDA5C2" w:rsidR="004F04F2" w:rsidRPr="00BC0023" w:rsidRDefault="00DF4F96" w:rsidP="00DF4F96">
      <w:pPr>
        <w:pStyle w:val="Compact"/>
        <w:numPr>
          <w:ilvl w:val="0"/>
          <w:numId w:val="2"/>
        </w:numPr>
        <w:spacing w:before="0" w:after="0"/>
        <w:ind w:left="426" w:hanging="426"/>
        <w:jc w:val="left"/>
        <w:rPr>
          <w:lang w:val="ru-RU"/>
        </w:rPr>
      </w:pPr>
      <w:proofErr w:type="spellStart"/>
      <w:r>
        <w:t>InterFoam</w:t>
      </w:r>
      <w:proofErr w:type="spellEnd"/>
      <w:r>
        <w:t>//</w:t>
      </w:r>
      <w:r w:rsidRPr="00BC0023">
        <w:t>openfoamwiki.net</w:t>
      </w:r>
      <w:r>
        <w:t>:</w:t>
      </w:r>
      <w:r w:rsidR="00BC0023">
        <w:t xml:space="preserve"> </w:t>
      </w:r>
      <w:r>
        <w:t>Unofficial</w:t>
      </w:r>
      <w:r w:rsidRPr="00BC0023">
        <w:t xml:space="preserve"> </w:t>
      </w:r>
      <w:proofErr w:type="spellStart"/>
      <w:r>
        <w:t>OpenFOAM</w:t>
      </w:r>
      <w:proofErr w:type="spellEnd"/>
      <w:r w:rsidRPr="00BC0023">
        <w:t xml:space="preserve"> </w:t>
      </w:r>
      <w:r>
        <w:t>wiki</w:t>
      </w:r>
      <w:r w:rsidR="00BC0023">
        <w:t>.</w:t>
      </w:r>
      <w:r w:rsidRPr="00BC0023">
        <w:t xml:space="preserve"> </w:t>
      </w:r>
      <w:r>
        <w:t>URL</w:t>
      </w:r>
      <w:r w:rsidRPr="00BC0023">
        <w:rPr>
          <w:lang w:val="ru-RU"/>
        </w:rPr>
        <w:t xml:space="preserve">: </w:t>
      </w:r>
      <w:r w:rsidR="00BC0023" w:rsidRPr="00BC0023">
        <w:t>https</w:t>
      </w:r>
      <w:r w:rsidR="00BC0023" w:rsidRPr="00BC0023">
        <w:rPr>
          <w:lang w:val="ru-RU"/>
        </w:rPr>
        <w:t>://</w:t>
      </w:r>
      <w:proofErr w:type="spellStart"/>
      <w:r w:rsidR="00BC0023" w:rsidRPr="00BC0023">
        <w:t>openfoamwiki</w:t>
      </w:r>
      <w:proofErr w:type="spellEnd"/>
      <w:r w:rsidR="00BC0023" w:rsidRPr="00BC0023">
        <w:rPr>
          <w:lang w:val="ru-RU"/>
        </w:rPr>
        <w:t>.</w:t>
      </w:r>
      <w:r w:rsidR="00BC0023" w:rsidRPr="00BC0023">
        <w:t>net</w:t>
      </w:r>
      <w:r w:rsidR="00BC0023" w:rsidRPr="00BC0023">
        <w:rPr>
          <w:lang w:val="ru-RU"/>
        </w:rPr>
        <w:t>/</w:t>
      </w:r>
      <w:r w:rsidR="00BC0023" w:rsidRPr="00BC0023">
        <w:t>index</w:t>
      </w:r>
      <w:r w:rsidR="00BC0023" w:rsidRPr="00BC0023">
        <w:rPr>
          <w:lang w:val="ru-RU"/>
        </w:rPr>
        <w:t>.</w:t>
      </w:r>
      <w:proofErr w:type="spellStart"/>
      <w:r w:rsidR="00BC0023" w:rsidRPr="00BC0023">
        <w:t>php</w:t>
      </w:r>
      <w:proofErr w:type="spellEnd"/>
      <w:r w:rsidR="00BC0023" w:rsidRPr="00BC0023">
        <w:rPr>
          <w:lang w:val="ru-RU"/>
        </w:rPr>
        <w:t>/</w:t>
      </w:r>
      <w:proofErr w:type="spellStart"/>
      <w:r w:rsidR="00BC0023" w:rsidRPr="00BC0023">
        <w:t>InterFoam</w:t>
      </w:r>
      <w:proofErr w:type="spellEnd"/>
      <w:r w:rsidR="00BC0023" w:rsidRPr="00BC0023">
        <w:rPr>
          <w:lang w:val="ru-RU"/>
        </w:rPr>
        <w:t xml:space="preserve"> </w:t>
      </w:r>
      <w:r w:rsidRPr="00BC0023">
        <w:rPr>
          <w:lang w:val="ru-RU"/>
        </w:rPr>
        <w:t>(</w:t>
      </w:r>
      <w:r w:rsidRPr="00E66902">
        <w:rPr>
          <w:lang w:val="ru-RU"/>
        </w:rPr>
        <w:t>дата</w:t>
      </w:r>
      <w:r w:rsidRPr="00BC0023">
        <w:rPr>
          <w:lang w:val="ru-RU"/>
        </w:rPr>
        <w:t xml:space="preserve"> </w:t>
      </w:r>
      <w:r w:rsidRPr="00E66902">
        <w:rPr>
          <w:lang w:val="ru-RU"/>
        </w:rPr>
        <w:t>обращения</w:t>
      </w:r>
      <w:r w:rsidRPr="00BC0023">
        <w:rPr>
          <w:lang w:val="ru-RU"/>
        </w:rPr>
        <w:t>: 08.05.2023)</w:t>
      </w:r>
      <w:bookmarkEnd w:id="0"/>
      <w:bookmarkEnd w:id="1"/>
      <w:r w:rsidR="00BC0023" w:rsidRPr="00BC0023">
        <w:rPr>
          <w:lang w:val="ru-RU"/>
        </w:rPr>
        <w:t>.</w:t>
      </w:r>
    </w:p>
    <w:p w14:paraId="5B40CC5F" w14:textId="77777777" w:rsidR="00F23779" w:rsidRPr="00BC0023" w:rsidRDefault="00F23779" w:rsidP="00DF4F96">
      <w:pPr>
        <w:ind w:left="426" w:hanging="426"/>
        <w:rPr>
          <w:rFonts w:ascii="Times New Roman" w:hAnsi="Times New Roman" w:cs="Times New Roman"/>
          <w:lang w:val="ru-RU"/>
        </w:rPr>
      </w:pPr>
    </w:p>
    <w:p w14:paraId="2D604DF3" w14:textId="33CE78CC" w:rsidR="00F23779" w:rsidRPr="00A30A52" w:rsidRDefault="00F23779" w:rsidP="00B76F6B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30A52">
        <w:rPr>
          <w:rFonts w:ascii="Times New Roman" w:hAnsi="Times New Roman" w:cs="Times New Roman"/>
          <w:b/>
          <w:bCs/>
          <w:sz w:val="20"/>
          <w:szCs w:val="20"/>
          <w:lang w:val="ru-RU"/>
        </w:rPr>
        <w:t>Воробьев Никита Сергеевич</w:t>
      </w:r>
    </w:p>
    <w:p w14:paraId="1A0EF808" w14:textId="08F4095A" w:rsidR="00F23779" w:rsidRPr="00A30A52" w:rsidRDefault="00F23779" w:rsidP="00B76F6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C63F4">
        <w:rPr>
          <w:rFonts w:ascii="Times New Roman" w:hAnsi="Times New Roman" w:cs="Times New Roman"/>
          <w:sz w:val="20"/>
          <w:szCs w:val="20"/>
          <w:lang w:val="ru-RU"/>
        </w:rPr>
        <w:t xml:space="preserve">Санкт-Петербургский государственный технологический институт (технический университет), </w:t>
      </w:r>
      <w:r w:rsidRPr="00A30A52">
        <w:rPr>
          <w:rFonts w:ascii="Times New Roman" w:hAnsi="Times New Roman" w:cs="Times New Roman"/>
          <w:sz w:val="20"/>
          <w:szCs w:val="20"/>
          <w:lang w:val="ru-RU"/>
        </w:rPr>
        <w:t>г. Санкт-Петербург</w:t>
      </w:r>
    </w:p>
    <w:p w14:paraId="7D8AA4A2" w14:textId="00C25E97" w:rsidR="0014589B" w:rsidRPr="00DF4F96" w:rsidRDefault="0014589B" w:rsidP="00B76F6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Студент </w:t>
      </w:r>
      <w:r w:rsidR="00B76F6B" w:rsidRPr="00B76F6B">
        <w:rPr>
          <w:rFonts w:ascii="Times New Roman" w:hAnsi="Times New Roman"/>
          <w:sz w:val="20"/>
          <w:lang w:val="ru-RU"/>
        </w:rPr>
        <w:t>кафедры системного анализа и информационных технологий</w:t>
      </w:r>
    </w:p>
    <w:p w14:paraId="0B07DD0F" w14:textId="7B098FA2" w:rsidR="00F23779" w:rsidRPr="00E1438A" w:rsidRDefault="00F23779" w:rsidP="00B76F6B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DF4F96">
        <w:rPr>
          <w:rFonts w:ascii="Times New Roman" w:hAnsi="Times New Roman" w:cs="Times New Roman"/>
          <w:sz w:val="20"/>
          <w:szCs w:val="20"/>
          <w:lang w:val="ru-RU"/>
        </w:rPr>
        <w:t>Тел</w:t>
      </w:r>
      <w:r w:rsidRPr="00E1438A">
        <w:rPr>
          <w:rFonts w:ascii="Times New Roman" w:hAnsi="Times New Roman" w:cs="Times New Roman"/>
          <w:sz w:val="20"/>
          <w:szCs w:val="20"/>
          <w:lang w:val="de-DE"/>
        </w:rPr>
        <w:t>.: +7(996)412-57-33</w:t>
      </w:r>
    </w:p>
    <w:p w14:paraId="5BB5EFB2" w14:textId="482A12D0" w:rsidR="00F23779" w:rsidRPr="00E1438A" w:rsidRDefault="00F23779" w:rsidP="00B76F6B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7D43E5">
        <w:rPr>
          <w:rFonts w:ascii="Times New Roman" w:hAnsi="Times New Roman" w:cs="Times New Roman"/>
          <w:sz w:val="20"/>
          <w:szCs w:val="20"/>
          <w:lang w:val="de-DE"/>
        </w:rPr>
        <w:t>E</w:t>
      </w:r>
      <w:r w:rsidRPr="00E1438A">
        <w:rPr>
          <w:rFonts w:ascii="Times New Roman" w:hAnsi="Times New Roman" w:cs="Times New Roman"/>
          <w:sz w:val="20"/>
          <w:szCs w:val="20"/>
          <w:lang w:val="de-DE"/>
        </w:rPr>
        <w:t>-</w:t>
      </w:r>
      <w:r w:rsidRPr="007D43E5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E1438A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10" w:history="1">
        <w:r w:rsidR="00B76F6B" w:rsidRPr="00A16536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mlgnikitka</w:t>
        </w:r>
        <w:r w:rsidR="00B76F6B" w:rsidRPr="00E1438A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@</w:t>
        </w:r>
        <w:r w:rsidR="00B76F6B" w:rsidRPr="00A16536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gmail</w:t>
        </w:r>
        <w:r w:rsidR="00B76F6B" w:rsidRPr="00E1438A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.</w:t>
        </w:r>
        <w:r w:rsidR="00B76F6B" w:rsidRPr="00A16536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com</w:t>
        </w:r>
      </w:hyperlink>
    </w:p>
    <w:p w14:paraId="11208EA8" w14:textId="77777777" w:rsidR="00B76F6B" w:rsidRPr="00E1438A" w:rsidRDefault="00B76F6B" w:rsidP="00B76F6B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14:paraId="3B27EA04" w14:textId="77777777" w:rsidR="00B76F6B" w:rsidRPr="00B76F6B" w:rsidRDefault="00B76F6B" w:rsidP="00B76F6B">
      <w:pPr>
        <w:spacing w:after="0"/>
        <w:jc w:val="both"/>
        <w:rPr>
          <w:rFonts w:ascii="Times New Roman" w:hAnsi="Times New Roman" w:cs="Times New Roman"/>
          <w:b/>
          <w:sz w:val="20"/>
          <w:lang w:val="ru-RU"/>
        </w:rPr>
      </w:pPr>
      <w:r w:rsidRPr="00B76F6B">
        <w:rPr>
          <w:rFonts w:ascii="Times New Roman" w:hAnsi="Times New Roman" w:cs="Times New Roman"/>
          <w:b/>
          <w:sz w:val="20"/>
          <w:lang w:val="ru-RU"/>
        </w:rPr>
        <w:t>Боровинская Екатерина Сергеевна</w:t>
      </w:r>
    </w:p>
    <w:p w14:paraId="054975E5" w14:textId="77777777" w:rsidR="00B76F6B" w:rsidRPr="00B76F6B" w:rsidRDefault="00B76F6B" w:rsidP="00B76F6B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 w:rsidRPr="00B76F6B">
        <w:rPr>
          <w:rFonts w:ascii="Times New Roman" w:hAnsi="Times New Roman" w:cs="Times New Roman"/>
          <w:sz w:val="20"/>
          <w:lang w:val="ru-RU"/>
        </w:rPr>
        <w:t>Санкт-Петербургский государственный технологический институт (технический университет), г. Санкт-Петербург</w:t>
      </w:r>
    </w:p>
    <w:p w14:paraId="4151C7E9" w14:textId="42D5FB3E" w:rsidR="00B76F6B" w:rsidRPr="00B76F6B" w:rsidRDefault="00B76F6B" w:rsidP="00B76F6B">
      <w:pPr>
        <w:widowControl w:val="0"/>
        <w:spacing w:after="0"/>
        <w:jc w:val="both"/>
        <w:rPr>
          <w:rFonts w:ascii="Times New Roman" w:hAnsi="Times New Roman"/>
          <w:sz w:val="20"/>
          <w:lang w:val="ru-RU"/>
        </w:rPr>
      </w:pPr>
      <w:r w:rsidRPr="00B76F6B">
        <w:rPr>
          <w:rFonts w:ascii="Times New Roman" w:hAnsi="Times New Roman"/>
          <w:sz w:val="20"/>
          <w:lang w:val="ru-RU"/>
        </w:rPr>
        <w:t xml:space="preserve">Д.т.н., </w:t>
      </w:r>
      <w:r>
        <w:rPr>
          <w:rFonts w:ascii="Times New Roman" w:hAnsi="Times New Roman"/>
          <w:sz w:val="20"/>
          <w:lang w:val="ru-RU"/>
        </w:rPr>
        <w:t>доцент</w:t>
      </w:r>
      <w:r w:rsidRPr="00B76F6B">
        <w:rPr>
          <w:rFonts w:ascii="Times New Roman" w:hAnsi="Times New Roman"/>
          <w:sz w:val="20"/>
          <w:lang w:val="ru-RU"/>
        </w:rPr>
        <w:t>, профессор кафедры системного анализа и информационных технологий</w:t>
      </w:r>
    </w:p>
    <w:p w14:paraId="244252E3" w14:textId="77777777" w:rsidR="00B76F6B" w:rsidRPr="00DF2011" w:rsidRDefault="00B76F6B" w:rsidP="00B76F6B">
      <w:pPr>
        <w:spacing w:after="0"/>
        <w:jc w:val="both"/>
        <w:rPr>
          <w:rFonts w:ascii="Times New Roman" w:hAnsi="Times New Roman" w:cs="Times New Roman"/>
          <w:sz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</w:rPr>
        <w:t>Тел</w:t>
      </w:r>
      <w:proofErr w:type="spellEnd"/>
      <w:r w:rsidRPr="00DF2011">
        <w:rPr>
          <w:rFonts w:ascii="Times New Roman" w:hAnsi="Times New Roman" w:cs="Times New Roman"/>
          <w:sz w:val="20"/>
          <w:lang w:val="de-DE"/>
        </w:rPr>
        <w:t>.: +7 (812) 494-93</w:t>
      </w:r>
      <w:r w:rsidRPr="00634D65">
        <w:rPr>
          <w:rFonts w:ascii="Times New Roman" w:hAnsi="Times New Roman" w:cs="Times New Roman"/>
          <w:sz w:val="20"/>
          <w:lang w:val="de-DE"/>
        </w:rPr>
        <w:t>-</w:t>
      </w:r>
      <w:r w:rsidRPr="00DF2011">
        <w:rPr>
          <w:rFonts w:ascii="Times New Roman" w:hAnsi="Times New Roman" w:cs="Times New Roman"/>
          <w:sz w:val="20"/>
          <w:lang w:val="de-DE"/>
        </w:rPr>
        <w:t>02</w:t>
      </w:r>
    </w:p>
    <w:p w14:paraId="476DC878" w14:textId="55711DBA" w:rsidR="00B76F6B" w:rsidRDefault="00B76F6B" w:rsidP="00B76F6B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7D43E5">
        <w:rPr>
          <w:rFonts w:ascii="Times New Roman" w:hAnsi="Times New Roman" w:cs="Times New Roman"/>
          <w:sz w:val="20"/>
          <w:szCs w:val="20"/>
          <w:lang w:val="de-DE"/>
        </w:rPr>
        <w:t>E</w:t>
      </w:r>
      <w:r w:rsidRPr="00B76F6B">
        <w:rPr>
          <w:rFonts w:ascii="Times New Roman" w:hAnsi="Times New Roman" w:cs="Times New Roman"/>
          <w:sz w:val="20"/>
          <w:szCs w:val="20"/>
          <w:lang w:val="de-DE"/>
        </w:rPr>
        <w:t>-</w:t>
      </w:r>
      <w:r w:rsidRPr="007D43E5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B76F6B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11" w:history="1">
        <w:r w:rsidRPr="00A16536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ekaterina.borovinskaya@daad-alumni.de</w:t>
        </w:r>
      </w:hyperlink>
    </w:p>
    <w:p w14:paraId="0E0CA728" w14:textId="77777777" w:rsidR="00B76F6B" w:rsidRPr="00E1438A" w:rsidRDefault="00B76F6B" w:rsidP="00DF4F96">
      <w:pPr>
        <w:spacing w:after="0" w:line="360" w:lineRule="auto"/>
        <w:rPr>
          <w:sz w:val="20"/>
          <w:szCs w:val="20"/>
          <w:lang w:val="de-DE"/>
        </w:rPr>
      </w:pPr>
    </w:p>
    <w:sectPr w:rsidR="00B76F6B" w:rsidRPr="00E1438A" w:rsidSect="0076453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8793" w14:textId="77777777" w:rsidR="00947BDD" w:rsidRDefault="00947BDD">
      <w:pPr>
        <w:spacing w:after="0"/>
      </w:pPr>
      <w:r>
        <w:separator/>
      </w:r>
    </w:p>
  </w:endnote>
  <w:endnote w:type="continuationSeparator" w:id="0">
    <w:p w14:paraId="64666A4D" w14:textId="77777777" w:rsidR="00947BDD" w:rsidRDefault="00947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8D83" w14:textId="77777777" w:rsidR="00947BDD" w:rsidRDefault="00947BDD">
      <w:r>
        <w:separator/>
      </w:r>
    </w:p>
  </w:footnote>
  <w:footnote w:type="continuationSeparator" w:id="0">
    <w:p w14:paraId="06E5CC89" w14:textId="77777777" w:rsidR="00947BDD" w:rsidRDefault="0094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158A08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A99411"/>
    <w:multiLevelType w:val="multilevel"/>
    <w:tmpl w:val="B124419A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" w16cid:durableId="1280799235">
    <w:abstractNumId w:val="0"/>
  </w:num>
  <w:num w:numId="2" w16cid:durableId="743769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F2"/>
    <w:rsid w:val="00001D77"/>
    <w:rsid w:val="0009084E"/>
    <w:rsid w:val="000908BC"/>
    <w:rsid w:val="000941C5"/>
    <w:rsid w:val="000B5D83"/>
    <w:rsid w:val="000E408B"/>
    <w:rsid w:val="0011020E"/>
    <w:rsid w:val="0014589B"/>
    <w:rsid w:val="00177E45"/>
    <w:rsid w:val="001A1048"/>
    <w:rsid w:val="001A2D31"/>
    <w:rsid w:val="001D171B"/>
    <w:rsid w:val="00207A1F"/>
    <w:rsid w:val="002169D0"/>
    <w:rsid w:val="002512CB"/>
    <w:rsid w:val="002609A7"/>
    <w:rsid w:val="00297DA4"/>
    <w:rsid w:val="003027AE"/>
    <w:rsid w:val="00325CED"/>
    <w:rsid w:val="00326E4C"/>
    <w:rsid w:val="00335D82"/>
    <w:rsid w:val="00340949"/>
    <w:rsid w:val="0039472A"/>
    <w:rsid w:val="003A75FC"/>
    <w:rsid w:val="003B3692"/>
    <w:rsid w:val="003B4FC4"/>
    <w:rsid w:val="004134AB"/>
    <w:rsid w:val="004873C1"/>
    <w:rsid w:val="00487A8B"/>
    <w:rsid w:val="0049466A"/>
    <w:rsid w:val="004F04F2"/>
    <w:rsid w:val="00521BEB"/>
    <w:rsid w:val="005347A2"/>
    <w:rsid w:val="005700C9"/>
    <w:rsid w:val="00586D98"/>
    <w:rsid w:val="005F01A4"/>
    <w:rsid w:val="00646FD6"/>
    <w:rsid w:val="00665B57"/>
    <w:rsid w:val="006D0477"/>
    <w:rsid w:val="006E3CB4"/>
    <w:rsid w:val="00702C75"/>
    <w:rsid w:val="00706D5F"/>
    <w:rsid w:val="00715210"/>
    <w:rsid w:val="0074662E"/>
    <w:rsid w:val="00764539"/>
    <w:rsid w:val="00774223"/>
    <w:rsid w:val="007866CD"/>
    <w:rsid w:val="007C07C7"/>
    <w:rsid w:val="007D43E5"/>
    <w:rsid w:val="007F70C5"/>
    <w:rsid w:val="00827371"/>
    <w:rsid w:val="008424E8"/>
    <w:rsid w:val="0089489D"/>
    <w:rsid w:val="008D7AC2"/>
    <w:rsid w:val="008F2BC6"/>
    <w:rsid w:val="009363EA"/>
    <w:rsid w:val="00942ABE"/>
    <w:rsid w:val="00947BDD"/>
    <w:rsid w:val="009978E5"/>
    <w:rsid w:val="009B7EDF"/>
    <w:rsid w:val="009C387B"/>
    <w:rsid w:val="009D3067"/>
    <w:rsid w:val="00A05196"/>
    <w:rsid w:val="00A07F34"/>
    <w:rsid w:val="00A15883"/>
    <w:rsid w:val="00A30A52"/>
    <w:rsid w:val="00AA43F8"/>
    <w:rsid w:val="00B653CC"/>
    <w:rsid w:val="00B76F6B"/>
    <w:rsid w:val="00B864D4"/>
    <w:rsid w:val="00BA13B2"/>
    <w:rsid w:val="00BB1991"/>
    <w:rsid w:val="00BC0023"/>
    <w:rsid w:val="00BF5B41"/>
    <w:rsid w:val="00C11A06"/>
    <w:rsid w:val="00C42EC2"/>
    <w:rsid w:val="00CA1728"/>
    <w:rsid w:val="00CA30E2"/>
    <w:rsid w:val="00CC5F01"/>
    <w:rsid w:val="00CE5D10"/>
    <w:rsid w:val="00DB30DC"/>
    <w:rsid w:val="00DD0C72"/>
    <w:rsid w:val="00DF4F96"/>
    <w:rsid w:val="00DF718F"/>
    <w:rsid w:val="00E1438A"/>
    <w:rsid w:val="00E57BFA"/>
    <w:rsid w:val="00E66902"/>
    <w:rsid w:val="00EB7BB6"/>
    <w:rsid w:val="00EC63F4"/>
    <w:rsid w:val="00F23779"/>
    <w:rsid w:val="00F30392"/>
    <w:rsid w:val="00F50FEC"/>
    <w:rsid w:val="00F53D94"/>
    <w:rsid w:val="00F749EA"/>
    <w:rsid w:val="00FC08D1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A5F7"/>
  <w15:docId w15:val="{B5FBD3D2-4D6E-47D6-896D-7B53668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uiPriority w:val="9"/>
    <w:qFormat/>
    <w:rsid w:val="0076453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rsid w:val="007F70C5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A15883"/>
    <w:pPr>
      <w:spacing w:after="120"/>
      <w:ind w:firstLine="709"/>
      <w:jc w:val="both"/>
    </w:pPr>
    <w:rPr>
      <w:rFonts w:ascii="Times New Roman" w:hAnsi="Times New Roman"/>
    </w:r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  <w:ind w:left="480" w:right="480" w:firstLine="0"/>
    </w:p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BeschriftungZchn"/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Kommentarzeichen">
    <w:name w:val="annotation reference"/>
    <w:basedOn w:val="Absatz-Standardschriftart"/>
    <w:semiHidden/>
    <w:unhideWhenUsed/>
    <w:rsid w:val="00CC5F0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C5F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5F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C5F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C5F01"/>
    <w:rPr>
      <w:b/>
      <w:bCs/>
      <w:sz w:val="20"/>
      <w:szCs w:val="20"/>
    </w:rPr>
  </w:style>
  <w:style w:type="paragraph" w:styleId="berarbeitung">
    <w:name w:val="Revision"/>
    <w:hidden/>
    <w:semiHidden/>
    <w:rsid w:val="00646FD6"/>
    <w:pPr>
      <w:spacing w:after="0"/>
    </w:pPr>
  </w:style>
  <w:style w:type="character" w:customStyle="1" w:styleId="TextkrperZchn">
    <w:name w:val="Textkörper Zchn"/>
    <w:basedOn w:val="Absatz-Standardschriftart"/>
    <w:link w:val="Textkrper"/>
    <w:rsid w:val="00A15883"/>
    <w:rPr>
      <w:rFonts w:ascii="Times New Roman" w:hAnsi="Times New Roman"/>
    </w:rPr>
  </w:style>
  <w:style w:type="table" w:styleId="Tabellenraster">
    <w:name w:val="Table Grid"/>
    <w:basedOn w:val="NormaleTabelle"/>
    <w:rsid w:val="00942A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CE5D10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D0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D0C7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bsatz-Standardschriftart"/>
    <w:rsid w:val="00DD0C72"/>
  </w:style>
  <w:style w:type="paragraph" w:styleId="Sprechblasentext">
    <w:name w:val="Balloon Text"/>
    <w:basedOn w:val="Standard"/>
    <w:link w:val="SprechblasentextZchn"/>
    <w:semiHidden/>
    <w:unhideWhenUsed/>
    <w:rsid w:val="00A30A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30A5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aterina.borovinskaya@daad-alumni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lgnikit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A5B3-6563-4262-8E3E-D1646914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sisi</dc:creator>
  <cp:keywords/>
  <cp:lastModifiedBy>sisi</cp:lastModifiedBy>
  <cp:revision>3</cp:revision>
  <dcterms:created xsi:type="dcterms:W3CDTF">2023-05-13T15:59:00Z</dcterms:created>
  <dcterms:modified xsi:type="dcterms:W3CDTF">2023-05-13T16:02:00Z</dcterms:modified>
</cp:coreProperties>
</file>