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0E7E" w14:textId="544EB718" w:rsidR="004C56D7" w:rsidRDefault="004C56D7" w:rsidP="004C56D7">
      <w:pPr>
        <w:pStyle w:val="PlainText"/>
        <w:ind w:left="0" w:right="0" w:firstLine="0"/>
        <w:jc w:val="left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>УДК 004.942</w:t>
      </w:r>
    </w:p>
    <w:p w14:paraId="332BCBD0" w14:textId="77777777" w:rsidR="004C56D7" w:rsidRDefault="004C56D7" w:rsidP="004C56D7">
      <w:pPr>
        <w:pStyle w:val="PlainText"/>
        <w:ind w:left="0" w:right="0" w:firstLine="0"/>
        <w:jc w:val="left"/>
        <w:rPr>
          <w:sz w:val="24"/>
          <w:szCs w:val="24"/>
          <w:lang w:val="ru-RU"/>
        </w:rPr>
      </w:pPr>
    </w:p>
    <w:p w14:paraId="2DA4CCD1" w14:textId="2BC39322" w:rsidR="004C56D7" w:rsidRPr="00287231" w:rsidRDefault="004C56D7" w:rsidP="004C56D7">
      <w:pPr>
        <w:pStyle w:val="PlainText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Е.С. БОРОВИНСКАЯ, В.П. РЕШЕТИЛОЧСКИЙ</w:t>
      </w:r>
    </w:p>
    <w:p w14:paraId="64996FFB" w14:textId="00CDABA5" w:rsidR="004C56D7" w:rsidRPr="004C56D7" w:rsidRDefault="004C56D7" w:rsidP="004C56D7">
      <w:pPr>
        <w:pStyle w:val="PlainText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>E.S. BOROVINSKAYA, W.P. RESCHETILOWSKI</w:t>
      </w:r>
    </w:p>
    <w:p w14:paraId="13E75B43" w14:textId="77777777" w:rsidR="004C56D7" w:rsidRPr="004C56D7" w:rsidRDefault="004C56D7" w:rsidP="004C56D7">
      <w:pPr>
        <w:pStyle w:val="PlainText"/>
        <w:ind w:left="0" w:right="0" w:firstLine="0"/>
        <w:rPr>
          <w:b/>
          <w:sz w:val="24"/>
          <w:szCs w:val="24"/>
        </w:rPr>
      </w:pPr>
    </w:p>
    <w:p w14:paraId="132073C8" w14:textId="0BE23F55" w:rsidR="004C56D7" w:rsidRDefault="004C56D7" w:rsidP="004C56D7">
      <w:pPr>
        <w:pStyle w:val="PlainText"/>
        <w:ind w:left="0" w:right="0" w:firstLine="0"/>
        <w:rPr>
          <w:b/>
          <w:sz w:val="24"/>
          <w:szCs w:val="24"/>
          <w:lang w:val="ru-RU"/>
        </w:rPr>
      </w:pPr>
      <w:r w:rsidRPr="004C56D7">
        <w:rPr>
          <w:b/>
          <w:sz w:val="24"/>
          <w:szCs w:val="24"/>
          <w:lang w:val="ru-RU"/>
        </w:rPr>
        <w:t>МЕТОДЫ ПЛАНИРОВАНИЯ ЭКСПЕРИМЕНТА И МАТЕМАТИЧЕСКОГО МОДЕЛИРОВАНИЯ ДЛЯ ЭФФЕКТИВНОГО ПРОВЕДЕНИЯ РЕАКЦИИ ЭТАНОЛИЗА В МИКРОРЕАКТОРАХ</w:t>
      </w:r>
      <w:r w:rsidRPr="004C56D7">
        <w:rPr>
          <w:b/>
          <w:sz w:val="24"/>
          <w:szCs w:val="24"/>
          <w:lang w:val="ru-RU"/>
        </w:rPr>
        <w:t xml:space="preserve"> </w:t>
      </w:r>
    </w:p>
    <w:p w14:paraId="564AEAD9" w14:textId="5B6CD76E" w:rsidR="004C56D7" w:rsidRDefault="004C56D7" w:rsidP="001A03C7">
      <w:pPr>
        <w:pStyle w:val="PlainText"/>
        <w:ind w:left="0" w:firstLine="31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DESIGN OF EXPERIMENTS </w:t>
      </w:r>
      <w:r w:rsidRPr="004C56D7">
        <w:rPr>
          <w:b/>
          <w:caps/>
          <w:sz w:val="24"/>
          <w:szCs w:val="24"/>
        </w:rPr>
        <w:t>AND MATHEMATICAL MODELING FOR EFFECTIVE PERFORMANCE OF ETHANOLYSIS REACTION IN MICROREACTORS</w:t>
      </w:r>
    </w:p>
    <w:p w14:paraId="55648229" w14:textId="77777777" w:rsidR="004C56D7" w:rsidRPr="004C56D7" w:rsidRDefault="004C56D7" w:rsidP="004C56D7">
      <w:pPr>
        <w:pStyle w:val="PlainText"/>
        <w:ind w:left="0" w:firstLine="318"/>
        <w:jc w:val="both"/>
        <w:rPr>
          <w:i/>
          <w:sz w:val="24"/>
          <w:szCs w:val="24"/>
        </w:rPr>
      </w:pPr>
    </w:p>
    <w:p w14:paraId="5DB0FC93" w14:textId="05EAA4CB" w:rsidR="004C56D7" w:rsidRPr="00287231" w:rsidRDefault="007721C7" w:rsidP="007721C7">
      <w:pPr>
        <w:pStyle w:val="PlainText"/>
        <w:ind w:left="0" w:firstLine="709"/>
        <w:jc w:val="both"/>
        <w:rPr>
          <w:i/>
          <w:sz w:val="24"/>
          <w:szCs w:val="24"/>
          <w:lang w:val="ru-RU"/>
        </w:rPr>
      </w:pPr>
      <w:r w:rsidRPr="007721C7">
        <w:rPr>
          <w:i/>
          <w:sz w:val="24"/>
          <w:szCs w:val="24"/>
          <w:lang w:val="ru-RU"/>
        </w:rPr>
        <w:t>Рассмотрена задача</w:t>
      </w:r>
      <w:r w:rsidRPr="007721C7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оптимизации процесса этанолиза для получения биодизеля в микрореакторах</w:t>
      </w:r>
      <w:r w:rsidR="00380537">
        <w:rPr>
          <w:i/>
          <w:sz w:val="24"/>
          <w:szCs w:val="24"/>
          <w:lang w:val="ru-RU"/>
        </w:rPr>
        <w:t xml:space="preserve"> на основе методов планирования эксприментов</w:t>
      </w:r>
      <w:r>
        <w:rPr>
          <w:i/>
          <w:sz w:val="24"/>
          <w:szCs w:val="24"/>
          <w:lang w:val="ru-RU"/>
        </w:rPr>
        <w:t xml:space="preserve">. </w:t>
      </w:r>
      <w:r w:rsidR="00380537">
        <w:rPr>
          <w:i/>
          <w:sz w:val="24"/>
          <w:szCs w:val="24"/>
          <w:lang w:val="ru-RU"/>
        </w:rPr>
        <w:t xml:space="preserve">Найдены оптимальные условия проведения процесса. </w:t>
      </w:r>
      <w:r>
        <w:rPr>
          <w:i/>
          <w:sz w:val="24"/>
          <w:szCs w:val="24"/>
          <w:lang w:val="ru-RU"/>
        </w:rPr>
        <w:t xml:space="preserve">Сформулирована математическая модель </w:t>
      </w:r>
      <w:r w:rsidRPr="007721C7">
        <w:rPr>
          <w:i/>
          <w:sz w:val="24"/>
          <w:szCs w:val="24"/>
          <w:lang w:val="ru-RU"/>
        </w:rPr>
        <w:t xml:space="preserve">каталитического процесса переэтерификации растительных масел с учетом побочных реакций. </w:t>
      </w:r>
      <w:r>
        <w:rPr>
          <w:i/>
          <w:sz w:val="24"/>
          <w:szCs w:val="24"/>
          <w:lang w:val="ru-RU"/>
        </w:rPr>
        <w:t xml:space="preserve">Модель реализована в программном комплексе. </w:t>
      </w:r>
    </w:p>
    <w:p w14:paraId="30F3E358" w14:textId="57C073B1" w:rsidR="004C56D7" w:rsidRPr="007721C7" w:rsidRDefault="004C56D7" w:rsidP="007721C7">
      <w:pPr>
        <w:pStyle w:val="PlainText"/>
        <w:ind w:left="0" w:firstLine="709"/>
        <w:jc w:val="both"/>
        <w:rPr>
          <w:i/>
          <w:sz w:val="24"/>
          <w:szCs w:val="24"/>
          <w:lang w:val="ru-RU"/>
        </w:rPr>
      </w:pPr>
      <w:r w:rsidRPr="00287231">
        <w:rPr>
          <w:i/>
          <w:sz w:val="24"/>
          <w:szCs w:val="24"/>
          <w:lang w:val="ru-RU"/>
        </w:rPr>
        <w:t xml:space="preserve">Ключевые слова: </w:t>
      </w:r>
      <w:r w:rsidR="007721C7">
        <w:rPr>
          <w:i/>
          <w:sz w:val="24"/>
          <w:szCs w:val="24"/>
          <w:lang w:val="ru-RU"/>
        </w:rPr>
        <w:t>планировние эксперимента</w:t>
      </w:r>
      <w:r w:rsidR="007721C7" w:rsidRPr="007721C7">
        <w:rPr>
          <w:i/>
          <w:sz w:val="24"/>
          <w:szCs w:val="24"/>
          <w:lang w:val="ru-RU"/>
        </w:rPr>
        <w:t>;</w:t>
      </w:r>
      <w:r w:rsidR="007721C7">
        <w:rPr>
          <w:i/>
          <w:sz w:val="24"/>
          <w:szCs w:val="24"/>
          <w:lang w:val="ru-RU"/>
        </w:rPr>
        <w:t xml:space="preserve"> </w:t>
      </w:r>
      <w:r w:rsidR="007721C7" w:rsidRPr="007721C7">
        <w:rPr>
          <w:i/>
          <w:sz w:val="24"/>
          <w:szCs w:val="24"/>
          <w:lang w:val="ru-RU"/>
        </w:rPr>
        <w:t>этанолиз</w:t>
      </w:r>
      <w:r w:rsidR="007721C7" w:rsidRPr="007721C7">
        <w:rPr>
          <w:i/>
          <w:sz w:val="24"/>
          <w:szCs w:val="24"/>
          <w:lang w:val="ru-RU"/>
        </w:rPr>
        <w:t>;</w:t>
      </w:r>
      <w:r w:rsidR="007721C7" w:rsidRPr="007721C7">
        <w:rPr>
          <w:i/>
          <w:sz w:val="24"/>
          <w:szCs w:val="24"/>
          <w:lang w:val="ru-RU"/>
        </w:rPr>
        <w:t xml:space="preserve"> биодизельное топливо</w:t>
      </w:r>
      <w:r w:rsidR="007721C7" w:rsidRPr="007721C7">
        <w:rPr>
          <w:i/>
          <w:sz w:val="24"/>
          <w:szCs w:val="24"/>
          <w:lang w:val="ru-RU"/>
        </w:rPr>
        <w:t>;</w:t>
      </w:r>
      <w:r w:rsidR="007721C7" w:rsidRPr="007721C7">
        <w:rPr>
          <w:i/>
          <w:sz w:val="24"/>
          <w:szCs w:val="24"/>
          <w:lang w:val="ru-RU"/>
        </w:rPr>
        <w:t xml:space="preserve"> микрореактор</w:t>
      </w:r>
      <w:r w:rsidR="007721C7" w:rsidRPr="007721C7">
        <w:rPr>
          <w:i/>
          <w:sz w:val="24"/>
          <w:szCs w:val="24"/>
          <w:lang w:val="ru-RU"/>
        </w:rPr>
        <w:t>;</w:t>
      </w:r>
      <w:r w:rsidR="007721C7" w:rsidRPr="007721C7">
        <w:rPr>
          <w:i/>
          <w:sz w:val="24"/>
          <w:szCs w:val="24"/>
          <w:lang w:val="ru-RU"/>
        </w:rPr>
        <w:t xml:space="preserve"> моделирование кинетики</w:t>
      </w:r>
    </w:p>
    <w:p w14:paraId="2C6FF259" w14:textId="77777777" w:rsidR="004C56D7" w:rsidRPr="007721C7" w:rsidRDefault="004C56D7" w:rsidP="004C56D7">
      <w:pPr>
        <w:pStyle w:val="PlainText"/>
        <w:ind w:left="0" w:firstLine="318"/>
        <w:jc w:val="both"/>
        <w:rPr>
          <w:i/>
          <w:sz w:val="24"/>
          <w:szCs w:val="24"/>
          <w:lang w:val="ru-RU"/>
        </w:rPr>
      </w:pPr>
    </w:p>
    <w:p w14:paraId="4606CC16" w14:textId="7367C31B" w:rsidR="007721C7" w:rsidRDefault="007721C7" w:rsidP="007721C7">
      <w:pPr>
        <w:pStyle w:val="PlainText"/>
        <w:ind w:left="0" w:firstLine="709"/>
        <w:jc w:val="both"/>
        <w:rPr>
          <w:i/>
          <w:sz w:val="24"/>
          <w:szCs w:val="24"/>
        </w:rPr>
      </w:pPr>
      <w:r w:rsidRPr="007721C7">
        <w:rPr>
          <w:i/>
          <w:sz w:val="24"/>
          <w:szCs w:val="24"/>
        </w:rPr>
        <w:t xml:space="preserve">The optimization of </w:t>
      </w:r>
      <w:proofErr w:type="spellStart"/>
      <w:r w:rsidRPr="007721C7">
        <w:rPr>
          <w:i/>
          <w:sz w:val="24"/>
          <w:szCs w:val="24"/>
        </w:rPr>
        <w:t>ethanolysis</w:t>
      </w:r>
      <w:proofErr w:type="spellEnd"/>
      <w:r w:rsidRPr="007721C7">
        <w:rPr>
          <w:i/>
          <w:sz w:val="24"/>
          <w:szCs w:val="24"/>
        </w:rPr>
        <w:t xml:space="preserve"> </w:t>
      </w:r>
      <w:r w:rsidR="00BA7C0F">
        <w:rPr>
          <w:i/>
          <w:sz w:val="24"/>
          <w:szCs w:val="24"/>
        </w:rPr>
        <w:t xml:space="preserve">based on design of experiments </w:t>
      </w:r>
      <w:r w:rsidRPr="007721C7">
        <w:rPr>
          <w:i/>
          <w:sz w:val="24"/>
          <w:szCs w:val="24"/>
        </w:rPr>
        <w:t xml:space="preserve">for biodiesel production in microreactors is considered. </w:t>
      </w:r>
      <w:r w:rsidR="00380537" w:rsidRPr="00380537">
        <w:rPr>
          <w:i/>
          <w:sz w:val="24"/>
          <w:szCs w:val="24"/>
        </w:rPr>
        <w:t xml:space="preserve">The optimal process conditions were found. </w:t>
      </w:r>
      <w:r w:rsidRPr="007721C7">
        <w:rPr>
          <w:i/>
          <w:sz w:val="24"/>
          <w:szCs w:val="24"/>
        </w:rPr>
        <w:t xml:space="preserve">Mathematical model of vegetable oils transesterification </w:t>
      </w:r>
      <w:r w:rsidR="00BA7C0F">
        <w:rPr>
          <w:i/>
          <w:sz w:val="24"/>
          <w:szCs w:val="24"/>
        </w:rPr>
        <w:t xml:space="preserve">which </w:t>
      </w:r>
      <w:r w:rsidRPr="007721C7">
        <w:rPr>
          <w:i/>
          <w:sz w:val="24"/>
          <w:szCs w:val="24"/>
        </w:rPr>
        <w:t>tak</w:t>
      </w:r>
      <w:r w:rsidR="00BA7C0F">
        <w:rPr>
          <w:i/>
          <w:sz w:val="24"/>
          <w:szCs w:val="24"/>
        </w:rPr>
        <w:t>es</w:t>
      </w:r>
      <w:r w:rsidRPr="007721C7">
        <w:rPr>
          <w:i/>
          <w:sz w:val="24"/>
          <w:szCs w:val="24"/>
        </w:rPr>
        <w:t xml:space="preserve"> into account side reactions was formulated. The model </w:t>
      </w:r>
      <w:r w:rsidR="00BA7C0F">
        <w:rPr>
          <w:i/>
          <w:sz w:val="24"/>
          <w:szCs w:val="24"/>
        </w:rPr>
        <w:t>was</w:t>
      </w:r>
      <w:r w:rsidRPr="007721C7">
        <w:rPr>
          <w:i/>
          <w:sz w:val="24"/>
          <w:szCs w:val="24"/>
        </w:rPr>
        <w:t xml:space="preserve"> implemented in the software package.</w:t>
      </w:r>
    </w:p>
    <w:p w14:paraId="01A74C3A" w14:textId="5F3D1977" w:rsidR="004C56D7" w:rsidRPr="007721C7" w:rsidRDefault="004C56D7" w:rsidP="007721C7">
      <w:pPr>
        <w:pStyle w:val="PlainText"/>
        <w:ind w:left="0" w:firstLine="709"/>
        <w:jc w:val="both"/>
        <w:rPr>
          <w:i/>
          <w:sz w:val="24"/>
          <w:szCs w:val="24"/>
        </w:rPr>
      </w:pPr>
      <w:r w:rsidRPr="007721C7">
        <w:rPr>
          <w:i/>
          <w:sz w:val="24"/>
          <w:szCs w:val="24"/>
        </w:rPr>
        <w:t xml:space="preserve">Keywords: </w:t>
      </w:r>
      <w:r w:rsidR="007721C7" w:rsidRPr="007721C7">
        <w:rPr>
          <w:i/>
          <w:sz w:val="24"/>
          <w:szCs w:val="24"/>
        </w:rPr>
        <w:t>design</w:t>
      </w:r>
      <w:r w:rsidR="007721C7">
        <w:rPr>
          <w:i/>
          <w:sz w:val="24"/>
          <w:szCs w:val="24"/>
        </w:rPr>
        <w:t xml:space="preserve"> of </w:t>
      </w:r>
      <w:r w:rsidR="007721C7" w:rsidRPr="007721C7">
        <w:rPr>
          <w:i/>
          <w:sz w:val="24"/>
          <w:szCs w:val="24"/>
        </w:rPr>
        <w:t>experiments</w:t>
      </w:r>
      <w:r w:rsidR="007721C7">
        <w:rPr>
          <w:i/>
          <w:sz w:val="24"/>
          <w:szCs w:val="24"/>
        </w:rPr>
        <w:t xml:space="preserve">; </w:t>
      </w:r>
      <w:proofErr w:type="spellStart"/>
      <w:r w:rsidR="007721C7" w:rsidRPr="007721C7">
        <w:rPr>
          <w:i/>
          <w:sz w:val="24"/>
          <w:szCs w:val="24"/>
        </w:rPr>
        <w:t>ethanolyse</w:t>
      </w:r>
      <w:proofErr w:type="spellEnd"/>
      <w:r w:rsidR="007721C7">
        <w:rPr>
          <w:i/>
          <w:sz w:val="24"/>
          <w:szCs w:val="24"/>
        </w:rPr>
        <w:t>;</w:t>
      </w:r>
      <w:r w:rsidR="007721C7" w:rsidRPr="007721C7">
        <w:rPr>
          <w:i/>
          <w:sz w:val="24"/>
          <w:szCs w:val="24"/>
        </w:rPr>
        <w:t xml:space="preserve"> biodiesel</w:t>
      </w:r>
      <w:r w:rsidR="007721C7">
        <w:rPr>
          <w:i/>
          <w:sz w:val="24"/>
          <w:szCs w:val="24"/>
        </w:rPr>
        <w:t>;</w:t>
      </w:r>
      <w:r w:rsidR="007721C7" w:rsidRPr="007721C7">
        <w:rPr>
          <w:i/>
          <w:sz w:val="24"/>
          <w:szCs w:val="24"/>
        </w:rPr>
        <w:t xml:space="preserve"> microreactor</w:t>
      </w:r>
      <w:r w:rsidR="007721C7">
        <w:rPr>
          <w:i/>
          <w:sz w:val="24"/>
          <w:szCs w:val="24"/>
        </w:rPr>
        <w:t>;</w:t>
      </w:r>
      <w:r w:rsidR="007721C7" w:rsidRPr="007721C7">
        <w:rPr>
          <w:i/>
          <w:sz w:val="24"/>
          <w:szCs w:val="24"/>
        </w:rPr>
        <w:t xml:space="preserve"> kinetic modeling</w:t>
      </w:r>
    </w:p>
    <w:p w14:paraId="12995E5F" w14:textId="77777777" w:rsidR="004C56D7" w:rsidRPr="007721C7" w:rsidRDefault="004C56D7" w:rsidP="004C56D7">
      <w:pPr>
        <w:pStyle w:val="PlainText"/>
        <w:tabs>
          <w:tab w:val="left" w:pos="372"/>
        </w:tabs>
        <w:ind w:left="0" w:firstLine="252"/>
        <w:jc w:val="both"/>
        <w:rPr>
          <w:sz w:val="24"/>
          <w:szCs w:val="24"/>
        </w:rPr>
      </w:pPr>
    </w:p>
    <w:p w14:paraId="07608469" w14:textId="6F52D557" w:rsidR="004C56D7" w:rsidRPr="004C56D7" w:rsidRDefault="004C56D7" w:rsidP="001A03C7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 xml:space="preserve">В связи с растущей нехваткой природных ископаемых и глобальным потеплением альтернативные ресурсы и возобновляемое топливо приобретают новое значение. Переэтерификация отходов масел (ОМ) является процессом рациональной химии для производства биодизельного топлива. </w:t>
      </w:r>
    </w:p>
    <w:p w14:paraId="1CC46293" w14:textId="77777777" w:rsidR="004C56D7" w:rsidRPr="004C56D7" w:rsidRDefault="004C56D7" w:rsidP="001A03C7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 xml:space="preserve">В большинстве коммерческих процессов для достижения высокого выхода биодизельного топлива используют избыток спирта и высокое количество катализатора. Эффективность производства биодизеля может быть существенно повышена за счет непрерывного процесса в микрореакторах. Первые эксперименты показали, что выход этиловых эфиров жирных кислот сильно зависит от массобмена, которым часто пренебрегают. Массообмен увеличивается при более высокой эффективности микросмешения и более низких внутренних размерах применяемых аппаратов. В непрерывных микрореакторах при более низких температурах и более коротком времени реакции можно получить больший выход целевого продукта, чем в реакторах периодического действия, при прочих равных условиях. </w:t>
      </w:r>
    </w:p>
    <w:p w14:paraId="35065E3F" w14:textId="77777777" w:rsidR="004C56D7" w:rsidRPr="004C56D7" w:rsidRDefault="004C56D7" w:rsidP="001A03C7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>Благодаря значительно более высоким отношениям площади к объему, более быстрой скорости реакции и более быстрому массопереносу и теплопереносу в микрореакторах может быть достигнуто ускорение всего промышленного процесса. Поэтому производство биодизеля может быть интенсифицировано за счет применения микрореакторов.</w:t>
      </w:r>
    </w:p>
    <w:p w14:paraId="505A5D3E" w14:textId="4A3F42D6" w:rsidR="004C56D7" w:rsidRPr="004C56D7" w:rsidRDefault="004C56D7" w:rsidP="001A03C7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 xml:space="preserve">Реакцию переэтерификации исследовали в различных системах с непрерывыми микрореакторами и в реакторе периодического действия. Для оценки эффективности переэтерификации было проведено исследование производства биодизельного топлива второго поколения методом этанолиза с использованием планирования экспериментов. </w:t>
      </w:r>
      <w:r w:rsidR="00391E31">
        <w:rPr>
          <w:sz w:val="24"/>
          <w:szCs w:val="24"/>
          <w:lang w:val="ru-RU"/>
        </w:rPr>
        <w:t>Ц</w:t>
      </w:r>
      <w:r w:rsidRPr="004C56D7">
        <w:rPr>
          <w:sz w:val="24"/>
          <w:szCs w:val="24"/>
          <w:lang w:val="ru-RU"/>
        </w:rPr>
        <w:t xml:space="preserve">ель состояла в том, чтобы повысить выход продукта и определить ключевые параметры процесса для дальнейшей оптимизации. На основе экспериментального анализа концентрация катализатора, скорость потока и соотношение этанол/масло были выбраны в качестве параметров для нескольких экспериментальных планов. </w:t>
      </w:r>
    </w:p>
    <w:p w14:paraId="4C543ADB" w14:textId="43416ED6" w:rsidR="00380537" w:rsidRPr="004C7E6A" w:rsidRDefault="006E250C" w:rsidP="004C7E6A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>Полученные кинетические данные были описаны с использованием последовательными обратимых реакций, массоперенос учитывали с помощью пленочной модели.</w:t>
      </w:r>
      <w:r>
        <w:rPr>
          <w:sz w:val="24"/>
          <w:szCs w:val="24"/>
          <w:lang w:val="ru-RU"/>
        </w:rPr>
        <w:t xml:space="preserve"> </w:t>
      </w:r>
      <w:r w:rsidR="00380537" w:rsidRPr="004C7E6A">
        <w:rPr>
          <w:sz w:val="24"/>
          <w:szCs w:val="24"/>
          <w:lang w:val="ru-RU"/>
        </w:rPr>
        <w:t xml:space="preserve">Согласно этой </w:t>
      </w:r>
      <w:r w:rsidR="00380537" w:rsidRPr="004C7E6A">
        <w:rPr>
          <w:sz w:val="24"/>
          <w:szCs w:val="24"/>
          <w:lang w:val="ru-RU"/>
        </w:rPr>
        <w:lastRenderedPageBreak/>
        <w:t xml:space="preserve">модели реакция переэтерификации протекает согласно механизму с двумя обратимыми последовательными реакциями: </w:t>
      </w:r>
    </w:p>
    <w:p w14:paraId="5662BAED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9E7FF" w14:textId="77777777" w:rsidR="00380537" w:rsidRDefault="00380537" w:rsidP="00380537">
      <w:pPr>
        <w:spacing w:after="0" w:line="240" w:lineRule="auto"/>
        <w:ind w:left="-1560"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           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T</m:t>
        </m:r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EtOH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mPr>
          <m:mr>
            <m:e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e>
                  </m:groupChr>
                </m:e>
              </m:box>
            </m:e>
          </m:mr>
          <m:mr>
            <m:e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-1</m:t>
                          </m:r>
                        </m:sub>
                      </m:sSub>
                    </m:e>
                  </m:groupChr>
                </m:e>
              </m:box>
            </m:e>
          </m:mr>
        </m:m>
        <m:r>
          <w:rPr>
            <w:rFonts w:ascii="Cambria Math" w:hAnsi="Cambria Math" w:cs="Times New Roman"/>
            <w:sz w:val="26"/>
            <w:szCs w:val="26"/>
            <w:lang w:val="en-US"/>
          </w:rPr>
          <m:t>xSB</m:t>
        </m:r>
        <m:r>
          <w:rPr>
            <w:rFonts w:ascii="Cambria Math" w:hAnsi="Cambria Math" w:cs="Times New Roman"/>
            <w:sz w:val="26"/>
            <w:szCs w:val="26"/>
          </w:rPr>
          <m:t>+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E</m:t>
        </m:r>
      </m:oMath>
      <w:r>
        <w:rPr>
          <w:rFonts w:ascii="Times New Roman" w:hAnsi="Times New Roman" w:cs="Times New Roman"/>
          <w:sz w:val="26"/>
          <w:szCs w:val="26"/>
        </w:rPr>
        <w:t>,                                                          (1)</w:t>
      </w:r>
    </w:p>
    <w:p w14:paraId="2535E992" w14:textId="77777777" w:rsidR="00380537" w:rsidRDefault="00380537" w:rsidP="00380537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xSB</m:t>
        </m:r>
        <m:r>
          <w:rPr>
            <w:rFonts w:ascii="Cambria Math" w:hAnsi="Cambria Math" w:cs="Times New Roman"/>
            <w:sz w:val="26"/>
            <w:szCs w:val="26"/>
          </w:rPr>
          <m:t>+2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EtOH</m:t>
        </m:r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mPr>
          <m:mr>
            <m:e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e>
          </m:mr>
          <m:mr>
            <m:e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-2</m:t>
                          </m:r>
                        </m:sub>
                      </m:sSub>
                    </m:e>
                  </m:groupChr>
                </m:e>
              </m:box>
            </m:e>
          </m:mr>
        </m:m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+2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E</m:t>
        </m:r>
      </m:oMath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(2)</w:t>
      </w:r>
    </w:p>
    <w:p w14:paraId="204E47E7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2935CB" w14:textId="4045D1B2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C7E6A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4C7E6A">
        <w:rPr>
          <w:rFonts w:ascii="Times New Roman" w:hAnsi="Times New Roman" w:cs="Times New Roman"/>
          <w:i/>
          <w:sz w:val="24"/>
          <w:szCs w:val="24"/>
          <w:vertAlign w:val="subscript"/>
        </w:rPr>
        <w:t>1,</w:t>
      </w:r>
      <w:r w:rsidRPr="004C7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E6A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4C7E6A">
        <w:rPr>
          <w:rFonts w:ascii="Times New Roman" w:hAnsi="Times New Roman" w:cs="Times New Roman"/>
          <w:i/>
          <w:sz w:val="24"/>
          <w:szCs w:val="24"/>
          <w:vertAlign w:val="subscript"/>
        </w:rPr>
        <w:t>–1,</w:t>
      </w:r>
      <w:r w:rsidRPr="004C7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E6A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4C7E6A">
        <w:rPr>
          <w:rFonts w:ascii="Times New Roman" w:hAnsi="Times New Roman" w:cs="Times New Roman"/>
          <w:i/>
          <w:sz w:val="24"/>
          <w:szCs w:val="24"/>
          <w:vertAlign w:val="subscript"/>
        </w:rPr>
        <w:t>2,</w:t>
      </w:r>
      <w:r w:rsidRPr="004C7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E6A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4C7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E6A">
        <w:rPr>
          <w:rFonts w:ascii="Times New Roman" w:hAnsi="Times New Roman" w:cs="Times New Roman"/>
          <w:i/>
          <w:sz w:val="24"/>
          <w:szCs w:val="24"/>
          <w:vertAlign w:val="subscript"/>
        </w:rPr>
        <w:t>–2</w:t>
      </w:r>
      <w:r w:rsidRPr="004C7E6A">
        <w:rPr>
          <w:rFonts w:ascii="Times New Roman" w:hAnsi="Times New Roman" w:cs="Times New Roman"/>
          <w:sz w:val="24"/>
          <w:szCs w:val="24"/>
        </w:rPr>
        <w:t xml:space="preserve"> – константы скоростей реакций.</w:t>
      </w:r>
    </w:p>
    <w:p w14:paraId="518A7E38" w14:textId="77777777" w:rsidR="00391E31" w:rsidRPr="004C7E6A" w:rsidRDefault="00391E31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19486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sz w:val="24"/>
          <w:szCs w:val="24"/>
        </w:rPr>
        <w:t xml:space="preserve">При химическом анализе продуктов реакции этанолиза сложно отделить побочные продукты моноглицериды [М] от диглицеридов [D]. Поэтому в модель ввели псевдо-побочный продукт [SB] как сумму [D] и [М]. Отношение [D] к [М] представили фактором </w:t>
      </w:r>
      <w:r w:rsidRPr="004C7E6A">
        <w:rPr>
          <w:rFonts w:ascii="Times New Roman" w:hAnsi="Times New Roman" w:cs="Times New Roman"/>
          <w:i/>
          <w:sz w:val="24"/>
          <w:szCs w:val="24"/>
        </w:rPr>
        <w:t>x</w:t>
      </w:r>
      <w:r w:rsidRPr="004C7E6A">
        <w:rPr>
          <w:rFonts w:ascii="Times New Roman" w:hAnsi="Times New Roman" w:cs="Times New Roman"/>
          <w:sz w:val="24"/>
          <w:szCs w:val="24"/>
        </w:rPr>
        <w:t xml:space="preserve"> согласно уравнению: </w:t>
      </w:r>
    </w:p>
    <w:p w14:paraId="25ABA230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79C62E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B4BC23" w14:textId="77777777" w:rsidR="00380537" w:rsidRDefault="00380537" w:rsidP="00380537">
      <w:pPr>
        <w:spacing w:after="0" w:line="240" w:lineRule="auto"/>
        <w:ind w:left="2694" w:firstLine="283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/(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).</m:t>
        </m:r>
      </m:oMath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(3)</w:t>
      </w:r>
    </w:p>
    <w:p w14:paraId="46A253FF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7D29D6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BAEC87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sz w:val="24"/>
          <w:szCs w:val="24"/>
        </w:rPr>
        <w:t>Для моделирования реакции в программном виде реализованы уравнения скоростей реакции [5]:</w:t>
      </w:r>
    </w:p>
    <w:p w14:paraId="4610E590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39C15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EtOH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</m:oMath>
      <w:r w:rsidRPr="004C7E6A">
        <w:rPr>
          <w:rFonts w:ascii="Times New Roman" w:hAnsi="Times New Roman" w:cs="Times New Roman"/>
          <w:iCs/>
          <w:sz w:val="24"/>
          <w:szCs w:val="24"/>
        </w:rPr>
        <w:t>,</w:t>
      </w:r>
      <w:r w:rsidRPr="004C7E6A">
        <w:rPr>
          <w:rFonts w:ascii="Times New Roman" w:hAnsi="Times New Roman" w:cs="Times New Roman"/>
          <w:sz w:val="24"/>
          <w:szCs w:val="24"/>
        </w:rPr>
        <w:tab/>
      </w:r>
      <w:r w:rsidRPr="004C7E6A">
        <w:rPr>
          <w:rFonts w:ascii="Times New Roman" w:hAnsi="Times New Roman" w:cs="Times New Roman"/>
          <w:sz w:val="24"/>
          <w:szCs w:val="24"/>
        </w:rPr>
        <w:tab/>
      </w:r>
      <w:r w:rsidRPr="004C7E6A">
        <w:rPr>
          <w:rFonts w:ascii="Times New Roman" w:hAnsi="Times New Roman" w:cs="Times New Roman"/>
          <w:sz w:val="24"/>
          <w:szCs w:val="24"/>
        </w:rPr>
        <w:tab/>
      </w:r>
      <w:r w:rsidRPr="004C7E6A">
        <w:rPr>
          <w:rFonts w:ascii="Times New Roman" w:hAnsi="Times New Roman" w:cs="Times New Roman"/>
          <w:sz w:val="24"/>
          <w:szCs w:val="24"/>
        </w:rPr>
        <w:tab/>
      </w:r>
      <w:r w:rsidRPr="004C7E6A">
        <w:rPr>
          <w:rFonts w:ascii="Times New Roman" w:hAnsi="Times New Roman" w:cs="Times New Roman"/>
          <w:sz w:val="24"/>
          <w:szCs w:val="24"/>
        </w:rPr>
        <w:tab/>
      </w:r>
      <w:r w:rsidRPr="004C7E6A">
        <w:rPr>
          <w:rFonts w:ascii="Times New Roman" w:hAnsi="Times New Roman" w:cs="Times New Roman"/>
          <w:sz w:val="24"/>
          <w:szCs w:val="24"/>
        </w:rPr>
        <w:tab/>
      </w:r>
      <w:r w:rsidRPr="004C7E6A">
        <w:rPr>
          <w:rFonts w:ascii="Times New Roman" w:hAnsi="Times New Roman" w:cs="Times New Roman"/>
          <w:sz w:val="24"/>
          <w:szCs w:val="24"/>
        </w:rPr>
        <w:tab/>
        <w:t xml:space="preserve">        (4)</w:t>
      </w:r>
    </w:p>
    <w:p w14:paraId="69C79224" w14:textId="6368EC7D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</m:oMath>
      <w:r w:rsidRPr="004C7E6A">
        <w:rPr>
          <w:rFonts w:ascii="Times New Roman" w:hAnsi="Times New Roman" w:cs="Times New Roman"/>
          <w:iCs/>
          <w:sz w:val="24"/>
          <w:szCs w:val="24"/>
        </w:rPr>
        <w:t>,</w:t>
      </w:r>
      <w:r w:rsidRPr="004C7E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91E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7E6A"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283E57FB" w14:textId="1F04D928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EtOH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EtOH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</m:oMath>
      <w:r w:rsidRPr="004C7E6A">
        <w:rPr>
          <w:rFonts w:ascii="Times New Roman" w:hAnsi="Times New Roman" w:cs="Times New Roman"/>
          <w:iCs/>
          <w:sz w:val="24"/>
          <w:szCs w:val="24"/>
        </w:rPr>
        <w:t>,</w:t>
      </w:r>
      <w:r w:rsidRPr="004C7E6A">
        <w:rPr>
          <w:rFonts w:ascii="Times New Roman" w:hAnsi="Times New Roman" w:cs="Times New Roman"/>
          <w:sz w:val="24"/>
          <w:szCs w:val="24"/>
        </w:rPr>
        <w:t xml:space="preserve">        </w:t>
      </w:r>
      <w:r w:rsidR="00391E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7E6A">
        <w:rPr>
          <w:rFonts w:ascii="Times New Roman" w:hAnsi="Times New Roman" w:cs="Times New Roman"/>
          <w:sz w:val="24"/>
          <w:szCs w:val="24"/>
        </w:rPr>
        <w:t>(6)</w:t>
      </w:r>
    </w:p>
    <w:p w14:paraId="7AC1F70C" w14:textId="2D7C3162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EtO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sup>
            </m:sSup>
          </m:e>
        </m:d>
      </m:oMath>
      <w:r w:rsidRPr="004C7E6A">
        <w:rPr>
          <w:rFonts w:ascii="Times New Roman" w:hAnsi="Times New Roman" w:cs="Times New Roman"/>
          <w:iCs/>
          <w:sz w:val="24"/>
          <w:szCs w:val="24"/>
        </w:rPr>
        <w:t>.</w:t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391E31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4C7E6A">
        <w:rPr>
          <w:rFonts w:ascii="Times New Roman" w:hAnsi="Times New Roman" w:cs="Times New Roman"/>
          <w:sz w:val="24"/>
          <w:szCs w:val="24"/>
        </w:rPr>
        <w:t>(7)</w:t>
      </w:r>
    </w:p>
    <w:p w14:paraId="7E2F7068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83918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sz w:val="24"/>
          <w:szCs w:val="24"/>
        </w:rPr>
        <w:t>Вклад массоперенос описан пленочной моделью:</w:t>
      </w:r>
    </w:p>
    <w:p w14:paraId="59B33C89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6467C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</w:rPr>
              <m:t>,T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C7E6A">
        <w:rPr>
          <w:rFonts w:ascii="Times New Roman" w:hAnsi="Times New Roman" w:cs="Times New Roman"/>
          <w:sz w:val="24"/>
          <w:szCs w:val="24"/>
        </w:rPr>
        <w:t>,</w:t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  <w:t xml:space="preserve">        (8)</w:t>
      </w:r>
    </w:p>
    <w:p w14:paraId="736AE068" w14:textId="36B36B64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SB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[SB]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C7E6A">
        <w:rPr>
          <w:rFonts w:ascii="Times New Roman" w:hAnsi="Times New Roman" w:cs="Times New Roman"/>
          <w:sz w:val="24"/>
          <w:szCs w:val="24"/>
        </w:rPr>
        <w:t>,</w:t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="00391E31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4C7E6A">
        <w:rPr>
          <w:rFonts w:ascii="Times New Roman" w:hAnsi="Times New Roman" w:cs="Times New Roman"/>
          <w:iCs/>
          <w:sz w:val="24"/>
          <w:szCs w:val="24"/>
        </w:rPr>
        <w:t xml:space="preserve"> (9)</w:t>
      </w:r>
    </w:p>
    <w:p w14:paraId="662FDC0E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*(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[E]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C7E6A">
        <w:rPr>
          <w:rFonts w:ascii="Times New Roman" w:hAnsi="Times New Roman" w:cs="Times New Roman"/>
          <w:sz w:val="24"/>
          <w:szCs w:val="24"/>
        </w:rPr>
        <w:t>,</w:t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</w:r>
      <w:r w:rsidRPr="004C7E6A">
        <w:rPr>
          <w:rFonts w:ascii="Times New Roman" w:hAnsi="Times New Roman" w:cs="Times New Roman"/>
          <w:iCs/>
          <w:sz w:val="24"/>
          <w:szCs w:val="24"/>
        </w:rPr>
        <w:tab/>
        <w:t xml:space="preserve">      (10)</w:t>
      </w:r>
    </w:p>
    <w:p w14:paraId="551A030A" w14:textId="77777777" w:rsidR="00380537" w:rsidRPr="004C7E6A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F37D6F" w14:textId="77777777" w:rsidR="00380537" w:rsidRPr="004C7E6A" w:rsidRDefault="00380537" w:rsidP="003805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7E6A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β</m:t>
        </m:r>
      </m:oMath>
      <w:r w:rsidRPr="004C7E6A">
        <w:rPr>
          <w:rFonts w:ascii="Times New Roman" w:hAnsi="Times New Roman" w:cs="Times New Roman"/>
          <w:sz w:val="24"/>
          <w:szCs w:val="24"/>
        </w:rPr>
        <w:t xml:space="preserve"> – коэффициент массопереноса.</w:t>
      </w:r>
    </w:p>
    <w:p w14:paraId="551FED41" w14:textId="77777777" w:rsidR="003805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7376B4" w14:textId="2EB5ABA1" w:rsidR="006E250C" w:rsidRDefault="00380537" w:rsidP="006E250C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391E31">
        <w:rPr>
          <w:sz w:val="24"/>
          <w:szCs w:val="24"/>
          <w:lang w:val="ru-RU"/>
        </w:rPr>
        <w:t>Для решения задачи идентификации параметров математической модели растительных масел в микрореакторе реализова</w:t>
      </w:r>
      <w:r w:rsidR="00BA7C0F">
        <w:rPr>
          <w:sz w:val="24"/>
          <w:szCs w:val="24"/>
          <w:lang w:val="ru-RU"/>
        </w:rPr>
        <w:t>ли</w:t>
      </w:r>
      <w:r w:rsidRPr="00391E31">
        <w:rPr>
          <w:sz w:val="24"/>
          <w:szCs w:val="24"/>
          <w:lang w:val="ru-RU"/>
        </w:rPr>
        <w:t xml:space="preserve"> глобальный метод оптимизации, основанный на квазиньютоновском методе. </w:t>
      </w:r>
    </w:p>
    <w:p w14:paraId="69404600" w14:textId="35F05128" w:rsidR="00380537" w:rsidRPr="006E250C" w:rsidRDefault="00380537" w:rsidP="006E250C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6E250C">
        <w:rPr>
          <w:sz w:val="24"/>
          <w:szCs w:val="24"/>
          <w:lang w:val="ru-RU"/>
        </w:rPr>
        <w:t xml:space="preserve">Программная реализация </w:t>
      </w:r>
      <w:r w:rsidR="00BA7C0F">
        <w:rPr>
          <w:sz w:val="24"/>
          <w:szCs w:val="24"/>
          <w:lang w:val="ru-RU"/>
        </w:rPr>
        <w:t>выполнена</w:t>
      </w:r>
      <w:r w:rsidRPr="006E250C">
        <w:rPr>
          <w:sz w:val="24"/>
          <w:szCs w:val="24"/>
          <w:lang w:val="ru-RU"/>
        </w:rPr>
        <w:t xml:space="preserve"> на языке программирования Python. Результаты моделирования при найденных значениях параметров модели представлены на рисунке </w:t>
      </w:r>
      <w:r w:rsidR="006E250C">
        <w:rPr>
          <w:sz w:val="24"/>
          <w:szCs w:val="24"/>
          <w:lang w:val="ru-RU"/>
        </w:rPr>
        <w:t>1</w:t>
      </w:r>
      <w:r w:rsidRPr="006E250C">
        <w:rPr>
          <w:sz w:val="24"/>
          <w:szCs w:val="24"/>
          <w:lang w:val="ru-RU"/>
        </w:rPr>
        <w:t xml:space="preserve">. </w:t>
      </w:r>
      <w:r w:rsidR="00BA7C0F">
        <w:rPr>
          <w:sz w:val="24"/>
          <w:szCs w:val="24"/>
          <w:lang w:val="ru-RU"/>
        </w:rPr>
        <w:t>При идентификации параметров модели методом глобальной оптимизации б</w:t>
      </w:r>
      <w:r w:rsidRPr="006E250C">
        <w:rPr>
          <w:sz w:val="24"/>
          <w:szCs w:val="24"/>
          <w:lang w:val="ru-RU"/>
        </w:rPr>
        <w:t xml:space="preserve">ыло достигнуто значение квадрата отклонения расчетных данных от экспериментальных, равное 0,029, в то время как значение квадрата отклонения локальным методом  - 0,14. </w:t>
      </w:r>
    </w:p>
    <w:p w14:paraId="61CA6D87" w14:textId="77777777" w:rsidR="00380537" w:rsidRPr="00853337" w:rsidRDefault="00380537" w:rsidP="0038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8B3BA" w14:textId="6F75A6D7" w:rsidR="00380537" w:rsidRPr="00BA7C0F" w:rsidRDefault="00BA7C0F" w:rsidP="00380537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lastRenderedPageBreak/>
        <w:drawing>
          <wp:inline distT="0" distB="0" distL="0" distR="0" wp14:anchorId="5A426F46" wp14:editId="5A370E1C">
            <wp:extent cx="3066909" cy="4135240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37" cy="41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BE7A2" w14:textId="5F6630D7" w:rsidR="006E250C" w:rsidRPr="00287231" w:rsidRDefault="006E250C" w:rsidP="006E250C">
      <w:pPr>
        <w:pStyle w:val="PlainText"/>
        <w:ind w:left="0" w:firstLine="0"/>
        <w:rPr>
          <w:sz w:val="24"/>
          <w:szCs w:val="24"/>
          <w:lang w:val="ru-RU"/>
        </w:rPr>
      </w:pPr>
      <w:r w:rsidRPr="00287231">
        <w:rPr>
          <w:sz w:val="24"/>
          <w:szCs w:val="24"/>
          <w:lang w:val="ru-RU"/>
        </w:rPr>
        <w:t>Рисунок 1 –</w:t>
      </w:r>
      <w:r w:rsidRPr="006E250C">
        <w:rPr>
          <w:sz w:val="24"/>
          <w:szCs w:val="24"/>
          <w:lang w:val="ru-RU"/>
        </w:rPr>
        <w:t>Расчетные кривые (линии) и экспериментальные данные (точки), полученные в результате идентификации параметров модели: а) локальным и б) глобальным  методом</w:t>
      </w:r>
    </w:p>
    <w:p w14:paraId="0C6730CB" w14:textId="77777777" w:rsidR="00380537" w:rsidRDefault="00380537" w:rsidP="00380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23F4F" w14:textId="4C7B57C9" w:rsidR="00380537" w:rsidRPr="00391E31" w:rsidRDefault="00380537" w:rsidP="00391E31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391E31">
        <w:rPr>
          <w:sz w:val="24"/>
          <w:szCs w:val="24"/>
          <w:lang w:val="ru-RU"/>
        </w:rPr>
        <w:t>Применение микрореакционной техники для переэтерификации растительных масел с этиловым спиртом открывает перспективный с экономической и экологической точки зрения путь интенсификации традиционного процесса производства биодизельного топлива.  Внедрение микрореакторов для реакции переэтерификации позволяет достичь высокой степени превращения исходных веществ по сравнению с классическими реакторами. Благодаря размеру канала в микрореакторах оказывается возможным интенсифицировать массоперенос и ускорить химическую реакцию.</w:t>
      </w:r>
    </w:p>
    <w:p w14:paraId="22EB76D8" w14:textId="31496DC1" w:rsidR="00380537" w:rsidRPr="00391E31" w:rsidRDefault="00391E31" w:rsidP="00391E31">
      <w:pPr>
        <w:pStyle w:val="PlainText"/>
        <w:tabs>
          <w:tab w:val="left" w:pos="372"/>
        </w:tabs>
        <w:ind w:left="0" w:firstLine="709"/>
        <w:jc w:val="both"/>
        <w:rPr>
          <w:sz w:val="24"/>
          <w:szCs w:val="24"/>
          <w:lang w:val="ru-RU"/>
        </w:rPr>
      </w:pPr>
      <w:r w:rsidRPr="004C56D7">
        <w:rPr>
          <w:sz w:val="24"/>
          <w:szCs w:val="24"/>
          <w:lang w:val="ru-RU"/>
        </w:rPr>
        <w:t>Математическое моделирование и анализ параметров модели помогли сделать вывод о лимитирующих стадиях исследуемого процесса и направить экспериментальные исследования в нужное русло. Наилучший изученный технологический путь, а также лучшая микрореакторная система позволяют осуществлять комплексное производство биодизеля из отходов с использованием возобновляемых ресурсов.</w:t>
      </w:r>
    </w:p>
    <w:p w14:paraId="5A157872" w14:textId="77777777" w:rsidR="004C56D7" w:rsidRPr="004C56D7" w:rsidRDefault="004C56D7" w:rsidP="00DF45F8">
      <w:pPr>
        <w:pStyle w:val="Textkrper"/>
        <w:tabs>
          <w:tab w:val="num" w:pos="0"/>
        </w:tabs>
        <w:ind w:firstLine="709"/>
        <w:jc w:val="center"/>
        <w:rPr>
          <w:b/>
          <w:bCs/>
          <w:sz w:val="26"/>
          <w:szCs w:val="26"/>
        </w:rPr>
      </w:pPr>
    </w:p>
    <w:p w14:paraId="59AA16E2" w14:textId="4AF386AB" w:rsidR="00BA64C6" w:rsidRDefault="00BA64C6" w:rsidP="004C56D7">
      <w:pPr>
        <w:pStyle w:val="PlainText"/>
        <w:ind w:left="0" w:firstLine="25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Екатерина Сер</w:t>
      </w:r>
      <w:r w:rsidR="00380537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еевна Боровинская</w:t>
      </w:r>
    </w:p>
    <w:p w14:paraId="0A9CB713" w14:textId="4467100D" w:rsidR="00BA64C6" w:rsidRPr="00BA64C6" w:rsidRDefault="00BA64C6" w:rsidP="00BA64C6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 w:rsidRPr="00BA64C6">
        <w:rPr>
          <w:sz w:val="24"/>
          <w:szCs w:val="24"/>
          <w:lang w:val="ru-RU"/>
        </w:rPr>
        <w:t xml:space="preserve">Санкт-Петербургский государственный технологический институт </w:t>
      </w:r>
    </w:p>
    <w:p w14:paraId="66EB11CE" w14:textId="40DFA973" w:rsidR="00BA64C6" w:rsidRDefault="00BA64C6" w:rsidP="00BA64C6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 w:rsidRPr="00BA64C6">
        <w:rPr>
          <w:sz w:val="24"/>
          <w:szCs w:val="24"/>
          <w:lang w:val="ru-RU"/>
        </w:rPr>
        <w:t>(технический универстет), 190013 Ст.-Петербург, Россия</w:t>
      </w:r>
    </w:p>
    <w:p w14:paraId="5F747BBD" w14:textId="03D43EC0" w:rsidR="00BA64C6" w:rsidRDefault="00BA64C6" w:rsidP="00BA64C6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Д.т.н., доцент кафедры «Системный анализ и ИТ»</w:t>
      </w:r>
    </w:p>
    <w:p w14:paraId="00780EF7" w14:textId="22B23EE2" w:rsidR="00BA64C6" w:rsidRDefault="00BA64C6" w:rsidP="00BA64C6">
      <w:pPr>
        <w:pStyle w:val="PlainText"/>
        <w:ind w:left="0" w:firstLine="252"/>
        <w:jc w:val="both"/>
        <w:rPr>
          <w:sz w:val="24"/>
          <w:szCs w:val="24"/>
          <w:lang w:val="de-DE"/>
        </w:rPr>
      </w:pPr>
      <w:proofErr w:type="spellStart"/>
      <w:r w:rsidRPr="00BA64C6">
        <w:rPr>
          <w:sz w:val="24"/>
          <w:szCs w:val="24"/>
          <w:lang w:val="de-DE"/>
        </w:rPr>
        <w:t>E-mail</w:t>
      </w:r>
      <w:proofErr w:type="spellEnd"/>
      <w:r w:rsidRPr="00BA64C6">
        <w:rPr>
          <w:sz w:val="24"/>
          <w:szCs w:val="24"/>
          <w:lang w:val="de-DE"/>
        </w:rPr>
        <w:t xml:space="preserve">: </w:t>
      </w:r>
      <w:hyperlink r:id="rId5" w:history="1">
        <w:r w:rsidRPr="00634C1C">
          <w:rPr>
            <w:rStyle w:val="Hyperlink"/>
            <w:sz w:val="24"/>
            <w:szCs w:val="24"/>
            <w:lang w:val="de-DE"/>
          </w:rPr>
          <w:t>Ekaterina.borovinskaya@daad-alumni.de</w:t>
        </w:r>
      </w:hyperlink>
    </w:p>
    <w:p w14:paraId="412AC254" w14:textId="77777777" w:rsidR="00BA64C6" w:rsidRPr="00BA64C6" w:rsidRDefault="00BA64C6" w:rsidP="00BA64C6">
      <w:pPr>
        <w:pStyle w:val="PlainText"/>
        <w:ind w:left="0" w:firstLine="252"/>
        <w:jc w:val="both"/>
        <w:rPr>
          <w:sz w:val="24"/>
          <w:szCs w:val="24"/>
          <w:lang w:val="de-DE"/>
        </w:rPr>
      </w:pPr>
    </w:p>
    <w:p w14:paraId="71125DFB" w14:textId="42BFF86C" w:rsidR="004C56D7" w:rsidRPr="00287231" w:rsidRDefault="00BA64C6" w:rsidP="004C56D7">
      <w:pPr>
        <w:pStyle w:val="PlainText"/>
        <w:ind w:left="0" w:firstLine="25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Владимир Петрович Решетиловский</w:t>
      </w:r>
    </w:p>
    <w:p w14:paraId="1CE68968" w14:textId="77777777" w:rsidR="00BA64C6" w:rsidRDefault="00BA64C6" w:rsidP="004C56D7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 w:rsidRPr="00BA64C6">
        <w:rPr>
          <w:sz w:val="24"/>
          <w:szCs w:val="24"/>
          <w:lang w:val="ru-RU"/>
        </w:rPr>
        <w:t>Дрезденский технический университет, 01069 Дрезден, Германия</w:t>
      </w:r>
    </w:p>
    <w:p w14:paraId="36235545" w14:textId="221B13D3" w:rsidR="004C56D7" w:rsidRPr="00287231" w:rsidRDefault="00BA64C6" w:rsidP="004C56D7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Д.х.н., процессор, директор Института технической химии</w:t>
      </w:r>
    </w:p>
    <w:p w14:paraId="4957B012" w14:textId="0D252490" w:rsidR="00BA64C6" w:rsidRDefault="004C56D7" w:rsidP="004C56D7">
      <w:pPr>
        <w:pStyle w:val="Textkrper"/>
        <w:tabs>
          <w:tab w:val="num" w:pos="0"/>
        </w:tabs>
        <w:ind w:firstLine="284"/>
        <w:jc w:val="left"/>
        <w:rPr>
          <w:lang w:val="de-DE"/>
        </w:rPr>
      </w:pPr>
      <w:proofErr w:type="spellStart"/>
      <w:r w:rsidRPr="004C56D7">
        <w:rPr>
          <w:lang w:val="de-DE"/>
        </w:rPr>
        <w:t>E</w:t>
      </w:r>
      <w:r w:rsidRPr="00BA64C6">
        <w:rPr>
          <w:lang w:val="de-DE"/>
        </w:rPr>
        <w:t>-</w:t>
      </w:r>
      <w:r w:rsidRPr="004C56D7">
        <w:rPr>
          <w:lang w:val="de-DE"/>
        </w:rPr>
        <w:t>mail</w:t>
      </w:r>
      <w:proofErr w:type="spellEnd"/>
      <w:r w:rsidRPr="00BA64C6">
        <w:rPr>
          <w:lang w:val="de-DE"/>
        </w:rPr>
        <w:t xml:space="preserve">: </w:t>
      </w:r>
      <w:hyperlink r:id="rId6" w:history="1">
        <w:r w:rsidR="00BA64C6" w:rsidRPr="00634C1C">
          <w:rPr>
            <w:rStyle w:val="Hyperlink"/>
            <w:lang w:val="de-DE"/>
          </w:rPr>
          <w:t>wladimir.reschetilowski@tu-dresden.de</w:t>
        </w:r>
      </w:hyperlink>
    </w:p>
    <w:p w14:paraId="73B5EA8B" w14:textId="77777777" w:rsidR="00BE6AD0" w:rsidRPr="00BE6AD0" w:rsidRDefault="00BE6AD0" w:rsidP="00BE6AD0">
      <w:pPr>
        <w:jc w:val="center"/>
        <w:rPr>
          <w:sz w:val="28"/>
          <w:szCs w:val="28"/>
        </w:rPr>
      </w:pPr>
    </w:p>
    <w:sectPr w:rsidR="00BE6AD0" w:rsidRPr="00BE6AD0" w:rsidSect="001A03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D0"/>
    <w:rsid w:val="001A03C7"/>
    <w:rsid w:val="00283D24"/>
    <w:rsid w:val="00380537"/>
    <w:rsid w:val="00391E31"/>
    <w:rsid w:val="004525D4"/>
    <w:rsid w:val="004C56D7"/>
    <w:rsid w:val="004C7E6A"/>
    <w:rsid w:val="006D145B"/>
    <w:rsid w:val="006E250C"/>
    <w:rsid w:val="007721C7"/>
    <w:rsid w:val="00AE541E"/>
    <w:rsid w:val="00B1473E"/>
    <w:rsid w:val="00B9301A"/>
    <w:rsid w:val="00BA64C6"/>
    <w:rsid w:val="00BA7C0F"/>
    <w:rsid w:val="00BE6AD0"/>
    <w:rsid w:val="00DF45F8"/>
    <w:rsid w:val="00F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049E"/>
  <w15:chartTrackingRefBased/>
  <w15:docId w15:val="{CCD0DE45-0506-4D17-A156-0207AE04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06DE"/>
    <w:rPr>
      <w:color w:val="0563C1" w:themeColor="hyperlink"/>
      <w:u w:val="single"/>
    </w:rPr>
  </w:style>
  <w:style w:type="paragraph" w:customStyle="1" w:styleId="a">
    <w:name w:val="Автор"/>
    <w:basedOn w:val="Standard"/>
    <w:rsid w:val="00F9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Authoraddress">
    <w:name w:val="Author address"/>
    <w:basedOn w:val="Standard"/>
    <w:uiPriority w:val="99"/>
    <w:rsid w:val="00F906DE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styleId="Textkrper">
    <w:name w:val="Body Text"/>
    <w:basedOn w:val="Standard"/>
    <w:link w:val="TextkrperZchn"/>
    <w:semiHidden/>
    <w:rsid w:val="00F90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krperZchn">
    <w:name w:val="Textkörper Zchn"/>
    <w:basedOn w:val="Absatz-Standardschriftart"/>
    <w:link w:val="Textkrper"/>
    <w:semiHidden/>
    <w:rsid w:val="00F90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"/>
    <w:basedOn w:val="Standard"/>
    <w:rsid w:val="004C56D7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6D7"/>
    <w:rPr>
      <w:color w:val="605E5C"/>
      <w:shd w:val="clear" w:color="auto" w:fill="E1DFDD"/>
    </w:rPr>
  </w:style>
  <w:style w:type="paragraph" w:customStyle="1" w:styleId="a0">
    <w:name w:val="Рисунок"/>
    <w:basedOn w:val="Standard"/>
    <w:link w:val="a1"/>
    <w:rsid w:val="0038053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6"/>
      <w:lang w:val="x-none" w:eastAsia="x-none"/>
    </w:rPr>
  </w:style>
  <w:style w:type="character" w:customStyle="1" w:styleId="a1">
    <w:name w:val="Рисунок Знак"/>
    <w:link w:val="a0"/>
    <w:rsid w:val="00380537"/>
    <w:rPr>
      <w:rFonts w:ascii="Times New Roman" w:eastAsia="Calibri" w:hAnsi="Times New Roman" w:cs="Times New Roman"/>
      <w:sz w:val="20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adimir.reschetilowski@tu-dresden.de" TargetMode="External"/><Relationship Id="rId5" Type="http://schemas.openxmlformats.org/officeDocument/2006/relationships/hyperlink" Target="mailto:Ekaterina.borovinskaya@daad-alumni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7</cp:revision>
  <dcterms:created xsi:type="dcterms:W3CDTF">2020-09-09T22:48:00Z</dcterms:created>
  <dcterms:modified xsi:type="dcterms:W3CDTF">2020-09-09T23:43:00Z</dcterms:modified>
</cp:coreProperties>
</file>