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D2" w:rsidRDefault="00B777D2" w:rsidP="00B777D2">
      <w:pPr>
        <w:jc w:val="both"/>
        <w:rPr>
          <w:rFonts w:ascii="Times New Roman" w:hAnsi="Times New Roman" w:cs="Times New Roman"/>
          <w:sz w:val="24"/>
          <w:szCs w:val="24"/>
        </w:rPr>
      </w:pPr>
      <w:r w:rsidRPr="00513701">
        <w:rPr>
          <w:rFonts w:ascii="Times New Roman" w:hAnsi="Times New Roman" w:cs="Times New Roman"/>
          <w:caps/>
          <w:sz w:val="24"/>
          <w:szCs w:val="24"/>
        </w:rPr>
        <w:t>УДК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971EC">
        <w:rPr>
          <w:rFonts w:ascii="Times New Roman" w:hAnsi="Times New Roman" w:cs="Times New Roman"/>
          <w:sz w:val="24"/>
          <w:szCs w:val="24"/>
        </w:rPr>
        <w:t>330.46:004.75</w:t>
      </w:r>
    </w:p>
    <w:p w:rsidR="00537442" w:rsidRDefault="00537442" w:rsidP="0053744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B3447">
        <w:rPr>
          <w:rFonts w:ascii="Times New Roman" w:hAnsi="Times New Roman" w:cs="Times New Roman"/>
          <w:caps/>
          <w:sz w:val="24"/>
          <w:szCs w:val="24"/>
        </w:rPr>
        <w:t>К. А. Маковий, Ю.В. Хицкова</w:t>
      </w:r>
    </w:p>
    <w:p w:rsidR="00537442" w:rsidRPr="006D7F5D" w:rsidRDefault="00537442" w:rsidP="0053744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BB3447">
        <w:rPr>
          <w:rFonts w:ascii="Times New Roman" w:hAnsi="Times New Roman"/>
          <w:caps/>
          <w:sz w:val="24"/>
          <w:szCs w:val="24"/>
          <w:lang w:val="en-US"/>
        </w:rPr>
        <w:t xml:space="preserve">K. </w:t>
      </w:r>
      <w:r w:rsidRPr="00BB3447">
        <w:rPr>
          <w:rFonts w:ascii="Times New Roman" w:hAnsi="Times New Roman"/>
          <w:caps/>
          <w:sz w:val="24"/>
          <w:szCs w:val="24"/>
        </w:rPr>
        <w:t>А</w:t>
      </w:r>
      <w:r w:rsidRPr="00BB3447">
        <w:rPr>
          <w:rFonts w:ascii="Times New Roman" w:hAnsi="Times New Roman"/>
          <w:caps/>
          <w:sz w:val="24"/>
          <w:szCs w:val="24"/>
          <w:lang w:val="en-US"/>
        </w:rPr>
        <w:t>.</w:t>
      </w:r>
      <w:r w:rsidRPr="00BB3447">
        <w:rPr>
          <w:rFonts w:ascii="Times New Roman" w:hAnsi="Times New Roman"/>
          <w:caps/>
          <w:spacing w:val="25"/>
          <w:sz w:val="24"/>
          <w:szCs w:val="24"/>
          <w:lang w:val="en-US"/>
        </w:rPr>
        <w:t xml:space="preserve"> </w:t>
      </w:r>
      <w:r w:rsidRPr="00BB3447">
        <w:rPr>
          <w:rFonts w:ascii="Times New Roman" w:hAnsi="Times New Roman"/>
          <w:caps/>
          <w:sz w:val="24"/>
          <w:szCs w:val="24"/>
          <w:lang w:val="en-US"/>
        </w:rPr>
        <w:t>Ma</w:t>
      </w:r>
      <w:r w:rsidRPr="00BB3447">
        <w:rPr>
          <w:rFonts w:ascii="Times New Roman" w:hAnsi="Times New Roman"/>
          <w:caps/>
          <w:spacing w:val="-6"/>
          <w:sz w:val="24"/>
          <w:szCs w:val="24"/>
          <w:lang w:val="en-US"/>
        </w:rPr>
        <w:t>ko</w:t>
      </w:r>
      <w:r w:rsidRPr="00BB3447">
        <w:rPr>
          <w:rFonts w:ascii="Times New Roman" w:hAnsi="Times New Roman"/>
          <w:caps/>
          <w:sz w:val="24"/>
          <w:szCs w:val="24"/>
          <w:lang w:val="en-US"/>
        </w:rPr>
        <w:t xml:space="preserve">viy, </w:t>
      </w:r>
      <w:r w:rsidRPr="00BB3447">
        <w:rPr>
          <w:rFonts w:ascii="Times New Roman" w:hAnsi="Times New Roman"/>
          <w:caps/>
          <w:spacing w:val="-19"/>
          <w:sz w:val="24"/>
          <w:szCs w:val="24"/>
          <w:lang w:val="en-US"/>
        </w:rPr>
        <w:t>Y</w:t>
      </w:r>
      <w:r w:rsidRPr="00BB3447">
        <w:rPr>
          <w:rFonts w:ascii="Times New Roman" w:hAnsi="Times New Roman"/>
          <w:caps/>
          <w:sz w:val="24"/>
          <w:szCs w:val="24"/>
          <w:lang w:val="en-US"/>
        </w:rPr>
        <w:t>u. V.</w:t>
      </w:r>
      <w:r w:rsidRPr="00BB3447">
        <w:rPr>
          <w:rFonts w:ascii="Times New Roman" w:hAnsi="Times New Roman"/>
          <w:caps/>
          <w:spacing w:val="25"/>
          <w:sz w:val="24"/>
          <w:szCs w:val="24"/>
          <w:lang w:val="en-US"/>
        </w:rPr>
        <w:t xml:space="preserve"> </w:t>
      </w:r>
      <w:r w:rsidRPr="00BB3447">
        <w:rPr>
          <w:rFonts w:ascii="Times New Roman" w:hAnsi="Times New Roman"/>
          <w:caps/>
          <w:sz w:val="24"/>
          <w:szCs w:val="24"/>
          <w:lang w:val="en-US"/>
        </w:rPr>
        <w:t>Khits</w:t>
      </w:r>
      <w:r w:rsidRPr="00BB3447">
        <w:rPr>
          <w:rFonts w:ascii="Times New Roman" w:hAnsi="Times New Roman"/>
          <w:caps/>
          <w:spacing w:val="-5"/>
          <w:sz w:val="24"/>
          <w:szCs w:val="24"/>
          <w:lang w:val="en-US"/>
        </w:rPr>
        <w:t>k</w:t>
      </w:r>
      <w:r w:rsidRPr="00BB3447">
        <w:rPr>
          <w:rFonts w:ascii="Times New Roman" w:hAnsi="Times New Roman"/>
          <w:caps/>
          <w:spacing w:val="-6"/>
          <w:sz w:val="24"/>
          <w:szCs w:val="24"/>
          <w:lang w:val="en-US"/>
        </w:rPr>
        <w:t>o</w:t>
      </w:r>
      <w:r w:rsidRPr="00BB3447">
        <w:rPr>
          <w:rFonts w:ascii="Times New Roman" w:hAnsi="Times New Roman"/>
          <w:caps/>
          <w:spacing w:val="-13"/>
          <w:sz w:val="24"/>
          <w:szCs w:val="24"/>
          <w:lang w:val="en-US"/>
        </w:rPr>
        <w:t>v</w:t>
      </w:r>
      <w:r w:rsidRPr="00BB3447">
        <w:rPr>
          <w:rFonts w:ascii="Times New Roman" w:hAnsi="Times New Roman"/>
          <w:caps/>
          <w:sz w:val="24"/>
          <w:szCs w:val="24"/>
          <w:lang w:val="en-US"/>
        </w:rPr>
        <w:t>a</w:t>
      </w:r>
    </w:p>
    <w:p w:rsidR="00537442" w:rsidRPr="00C2181E" w:rsidRDefault="00537442" w:rsidP="005374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537442" w:rsidRDefault="00BB05C5" w:rsidP="005374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особенности разработки приложения оценки целесообразности внедрения облачных технологий в деятельность 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организации </w:t>
      </w:r>
    </w:p>
    <w:p w:rsidR="00537442" w:rsidRPr="006D7F5D" w:rsidRDefault="00537442" w:rsidP="006D7F5D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B3447" w:rsidRPr="0084607B" w:rsidRDefault="00BB3447" w:rsidP="006D7F5D">
      <w:pPr>
        <w:pStyle w:val="1"/>
        <w:ind w:left="0" w:right="0" w:firstLine="709"/>
        <w:jc w:val="both"/>
        <w:rPr>
          <w:i/>
          <w:sz w:val="24"/>
          <w:szCs w:val="24"/>
          <w:lang w:val="ru-RU"/>
        </w:rPr>
      </w:pPr>
      <w:r w:rsidRPr="009E123F">
        <w:rPr>
          <w:i/>
          <w:sz w:val="24"/>
          <w:szCs w:val="24"/>
          <w:lang w:val="ru-RU"/>
        </w:rPr>
        <w:t>В данной статье авторы освещают проблему</w:t>
      </w:r>
      <w:r w:rsidR="0084607B">
        <w:rPr>
          <w:i/>
          <w:sz w:val="24"/>
          <w:szCs w:val="24"/>
          <w:lang w:val="ru-RU"/>
        </w:rPr>
        <w:t xml:space="preserve"> выбора стратегических альтернатив в системе виртуализации высшего образовательного учреждения. Проведен факторный анализ виртуализации, сгруппированы факторы согласно </w:t>
      </w:r>
      <w:r w:rsidR="0084607B">
        <w:rPr>
          <w:i/>
          <w:sz w:val="24"/>
          <w:szCs w:val="24"/>
        </w:rPr>
        <w:t>SWOT</w:t>
      </w:r>
      <w:r w:rsidR="0084607B" w:rsidRPr="0084607B">
        <w:rPr>
          <w:i/>
          <w:sz w:val="24"/>
          <w:szCs w:val="24"/>
          <w:lang w:val="ru-RU"/>
        </w:rPr>
        <w:t xml:space="preserve"> – </w:t>
      </w:r>
      <w:r w:rsidR="0084607B">
        <w:rPr>
          <w:i/>
          <w:sz w:val="24"/>
          <w:szCs w:val="24"/>
          <w:lang w:val="ru-RU"/>
        </w:rPr>
        <w:t xml:space="preserve">группам. Предложены альтернативы внедрения виртуальных рабочих столов. Разработана приложение оценки стратегических альтернатив с помощью метода анализа иерархий. </w:t>
      </w:r>
    </w:p>
    <w:p w:rsidR="0084607B" w:rsidRPr="000C4614" w:rsidRDefault="006D7F5D" w:rsidP="0084607B">
      <w:pPr>
        <w:spacing w:after="0" w:line="240" w:lineRule="auto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0C4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Ключевые слова: </w:t>
      </w:r>
      <w:r w:rsidR="0084607B" w:rsidRPr="000C4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84607B" w:rsidRPr="00C21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етод анализа иерархий; SWOT – анализ; комплексное взаимодействие метода анализа иерархий и SWOT-анализа; виртуализация рабочих столов; оценка целесообразности внедрения</w:t>
      </w:r>
      <w:r w:rsidR="00C2181E" w:rsidRPr="00C21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облачных технологий</w:t>
      </w:r>
      <w:r w:rsidR="00C21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D7F5D" w:rsidRPr="00C2181E" w:rsidRDefault="006D7F5D" w:rsidP="00C2181E">
      <w:pPr>
        <w:pStyle w:val="1"/>
        <w:ind w:left="0" w:firstLine="708"/>
        <w:jc w:val="both"/>
        <w:rPr>
          <w:i/>
          <w:sz w:val="24"/>
          <w:szCs w:val="24"/>
          <w:lang w:val="ru-RU"/>
        </w:rPr>
      </w:pPr>
      <w:r w:rsidRPr="00C2181E">
        <w:rPr>
          <w:i/>
          <w:sz w:val="24"/>
          <w:szCs w:val="24"/>
          <w:lang w:val="ru-RU"/>
        </w:rPr>
        <w:t>In given article authors shine a problem</w:t>
      </w:r>
      <w:r w:rsidR="00C2181E" w:rsidRPr="00C2181E">
        <w:rPr>
          <w:i/>
          <w:sz w:val="24"/>
          <w:szCs w:val="24"/>
          <w:lang w:val="ru-RU"/>
        </w:rPr>
        <w:t xml:space="preserve"> of choosing strategic alternatives in the virtualization system of a higher educational institution. Factor analysis of virtualization is carried </w:t>
      </w:r>
      <w:r w:rsidR="00C2181E" w:rsidRPr="00C2181E">
        <w:rPr>
          <w:i/>
          <w:sz w:val="24"/>
          <w:szCs w:val="24"/>
          <w:lang w:val="ru-RU"/>
        </w:rPr>
        <w:t>out;</w:t>
      </w:r>
      <w:r w:rsidR="00C2181E" w:rsidRPr="00C2181E">
        <w:rPr>
          <w:i/>
          <w:sz w:val="24"/>
          <w:szCs w:val="24"/>
          <w:lang w:val="ru-RU"/>
        </w:rPr>
        <w:t xml:space="preserve"> factors are grouped according to SWOT - groups. Suggested alternatives to the introduction of virtual desktops. An application for assessing strategic alternatives using the hierarchy analysis method has been developed.</w:t>
      </w:r>
    </w:p>
    <w:p w:rsidR="00B777D2" w:rsidRPr="00C2181E" w:rsidRDefault="006D7F5D" w:rsidP="00C2181E">
      <w:pPr>
        <w:pStyle w:val="a7"/>
        <w:spacing w:before="0" w:beforeAutospacing="0" w:after="0" w:afterAutospacing="0"/>
        <w:ind w:firstLine="709"/>
        <w:jc w:val="both"/>
        <w:rPr>
          <w:i/>
          <w:lang w:val="en-US"/>
        </w:rPr>
      </w:pPr>
      <w:r w:rsidRPr="006D7F5D">
        <w:rPr>
          <w:i/>
          <w:lang w:val="en-US"/>
        </w:rPr>
        <w:t>Keywords</w:t>
      </w:r>
      <w:r w:rsidRPr="00C2181E">
        <w:rPr>
          <w:i/>
          <w:lang w:val="en-US"/>
        </w:rPr>
        <w:t xml:space="preserve">: </w:t>
      </w:r>
      <w:r w:rsidR="00C2181E" w:rsidRPr="00C2181E">
        <w:rPr>
          <w:i/>
          <w:lang w:val="en-US"/>
        </w:rPr>
        <w:t>Analytical hierarchy process; SWOT – analysis; complex interaction of of analytical hierarchy process and SWOT – analysis; virtual desktop infrastructure;.assessment of the feasibility of implementing cloud technologies</w:t>
      </w:r>
      <w:r w:rsidR="00C2181E" w:rsidRPr="00C2181E">
        <w:rPr>
          <w:i/>
          <w:lang w:val="en-US"/>
        </w:rPr>
        <w:t>.</w:t>
      </w:r>
    </w:p>
    <w:p w:rsidR="00D7515C" w:rsidRPr="00E72FFB" w:rsidRDefault="00F257B7" w:rsidP="00233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FB">
        <w:rPr>
          <w:rFonts w:ascii="Times New Roman" w:hAnsi="Times New Roman" w:cs="Times New Roman"/>
          <w:sz w:val="24"/>
          <w:szCs w:val="24"/>
        </w:rPr>
        <w:t>Выбор наиболее эффективной стратегии функционирования деятельности организации является одной из при</w:t>
      </w:r>
      <w:r w:rsidR="000E12DD" w:rsidRPr="00E72FFB">
        <w:rPr>
          <w:rFonts w:ascii="Times New Roman" w:hAnsi="Times New Roman" w:cs="Times New Roman"/>
          <w:sz w:val="24"/>
          <w:szCs w:val="24"/>
        </w:rPr>
        <w:t>о</w:t>
      </w:r>
      <w:r w:rsidRPr="00E72FFB">
        <w:rPr>
          <w:rFonts w:ascii="Times New Roman" w:hAnsi="Times New Roman" w:cs="Times New Roman"/>
          <w:sz w:val="24"/>
          <w:szCs w:val="24"/>
        </w:rPr>
        <w:t xml:space="preserve">ритетных задач. </w:t>
      </w:r>
      <w:r w:rsidR="001E3497" w:rsidRPr="00E72FFB">
        <w:rPr>
          <w:rFonts w:ascii="Times New Roman" w:hAnsi="Times New Roman" w:cs="Times New Roman"/>
          <w:sz w:val="24"/>
          <w:szCs w:val="24"/>
        </w:rPr>
        <w:t xml:space="preserve">В ее решении помогают различные системы поддержки принятия решений.  </w:t>
      </w:r>
      <w:r w:rsidR="00D73B14" w:rsidRPr="00E72FFB">
        <w:rPr>
          <w:rFonts w:ascii="Times New Roman" w:hAnsi="Times New Roman" w:cs="Times New Roman"/>
          <w:sz w:val="24"/>
          <w:szCs w:val="24"/>
        </w:rPr>
        <w:t xml:space="preserve">Стратегическое управление можно понимать как совокупность решений и мероприятий, </w:t>
      </w:r>
      <w:r w:rsidR="001E3497" w:rsidRPr="00E72FFB">
        <w:rPr>
          <w:rFonts w:ascii="Times New Roman" w:hAnsi="Times New Roman" w:cs="Times New Roman"/>
          <w:sz w:val="24"/>
          <w:szCs w:val="24"/>
        </w:rPr>
        <w:t>для достижения наилучшего результата возможно использование комплекс</w:t>
      </w:r>
      <w:r w:rsidR="00D7515C" w:rsidRPr="00E72FFB">
        <w:rPr>
          <w:rFonts w:ascii="Times New Roman" w:hAnsi="Times New Roman" w:cs="Times New Roman"/>
          <w:sz w:val="24"/>
          <w:szCs w:val="24"/>
        </w:rPr>
        <w:t>ного взаимодействия</w:t>
      </w:r>
      <w:r w:rsidR="001E3497" w:rsidRPr="00E72FFB">
        <w:rPr>
          <w:rFonts w:ascii="Times New Roman" w:hAnsi="Times New Roman" w:cs="Times New Roman"/>
          <w:sz w:val="24"/>
          <w:szCs w:val="24"/>
        </w:rPr>
        <w:t xml:space="preserve"> различных методов</w:t>
      </w:r>
      <w:r w:rsidR="00D7515C" w:rsidRPr="00E72FFB">
        <w:rPr>
          <w:rFonts w:ascii="Times New Roman" w:hAnsi="Times New Roman" w:cs="Times New Roman"/>
          <w:sz w:val="24"/>
          <w:szCs w:val="24"/>
        </w:rPr>
        <w:t xml:space="preserve">. Исследование возможностей сочетания различных методов позволяют построить модель выбора стратегических альтернатив. </w:t>
      </w:r>
    </w:p>
    <w:p w:rsidR="001978CF" w:rsidRPr="00E72FFB" w:rsidRDefault="001978CF" w:rsidP="00233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FB">
        <w:rPr>
          <w:rFonts w:ascii="Times New Roman" w:hAnsi="Times New Roman" w:cs="Times New Roman"/>
          <w:sz w:val="24"/>
          <w:szCs w:val="24"/>
        </w:rPr>
        <w:t>В процессе стратегического управления для анализа стратегических альтернатив используются различные модели и методы [</w:t>
      </w:r>
      <w:r w:rsidR="009A66DC">
        <w:rPr>
          <w:rFonts w:ascii="Times New Roman" w:hAnsi="Times New Roman" w:cs="Times New Roman"/>
          <w:sz w:val="24"/>
          <w:szCs w:val="24"/>
        </w:rPr>
        <w:t>3,4</w:t>
      </w:r>
      <w:r w:rsidRPr="00E72FFB">
        <w:rPr>
          <w:rFonts w:ascii="Times New Roman" w:hAnsi="Times New Roman" w:cs="Times New Roman"/>
          <w:sz w:val="24"/>
          <w:szCs w:val="24"/>
        </w:rPr>
        <w:t>]. В настоящее время при выборе стратегии возможно использования метода анализа иерархий и SWOT – анализа [</w:t>
      </w:r>
      <w:r w:rsidR="009A66DC">
        <w:rPr>
          <w:rFonts w:ascii="Times New Roman" w:hAnsi="Times New Roman" w:cs="Times New Roman"/>
          <w:sz w:val="24"/>
          <w:szCs w:val="24"/>
        </w:rPr>
        <w:t>4,5</w:t>
      </w:r>
      <w:r w:rsidRPr="00E72FFB">
        <w:rPr>
          <w:rFonts w:ascii="Times New Roman" w:hAnsi="Times New Roman" w:cs="Times New Roman"/>
          <w:sz w:val="24"/>
          <w:szCs w:val="24"/>
        </w:rPr>
        <w:t xml:space="preserve">] </w:t>
      </w:r>
      <w:r w:rsidR="0012753D" w:rsidRPr="00E72FFB">
        <w:rPr>
          <w:rFonts w:ascii="Times New Roman" w:hAnsi="Times New Roman" w:cs="Times New Roman"/>
          <w:sz w:val="24"/>
          <w:szCs w:val="24"/>
        </w:rPr>
        <w:t>. В основе использования данных методов лежит факторный анализ, проводимый в рамках системного подхода.</w:t>
      </w:r>
    </w:p>
    <w:p w:rsidR="00B724C3" w:rsidRPr="00E72FFB" w:rsidRDefault="00B724C3" w:rsidP="00233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FB">
        <w:rPr>
          <w:rFonts w:ascii="Times New Roman" w:hAnsi="Times New Roman" w:cs="Times New Roman"/>
          <w:sz w:val="24"/>
          <w:szCs w:val="24"/>
        </w:rPr>
        <w:t xml:space="preserve">SWOT-анализ </w:t>
      </w:r>
      <w:r w:rsidR="004E2F34" w:rsidRPr="00E72FFB">
        <w:rPr>
          <w:rFonts w:ascii="Times New Roman" w:hAnsi="Times New Roman" w:cs="Times New Roman"/>
          <w:sz w:val="24"/>
          <w:szCs w:val="24"/>
        </w:rPr>
        <w:t>достаточно часто используется при</w:t>
      </w:r>
      <w:r w:rsidR="005A5035" w:rsidRPr="00E72FFB">
        <w:rPr>
          <w:rFonts w:ascii="Times New Roman" w:hAnsi="Times New Roman" w:cs="Times New Roman"/>
          <w:sz w:val="24"/>
          <w:szCs w:val="24"/>
        </w:rPr>
        <w:t xml:space="preserve"> поддержке</w:t>
      </w:r>
      <w:r w:rsidRPr="00E72FFB">
        <w:rPr>
          <w:rFonts w:ascii="Times New Roman" w:hAnsi="Times New Roman" w:cs="Times New Roman"/>
          <w:sz w:val="24"/>
          <w:szCs w:val="24"/>
        </w:rPr>
        <w:t xml:space="preserve"> принятия решений и обычно используется как средство системного анализа внутренней и внешней среды организации. Сильные и слабые стороны </w:t>
      </w:r>
      <w:r w:rsidR="00C65AFF" w:rsidRPr="00E72FFB">
        <w:rPr>
          <w:rFonts w:ascii="Times New Roman" w:hAnsi="Times New Roman" w:cs="Times New Roman"/>
          <w:sz w:val="24"/>
          <w:szCs w:val="24"/>
        </w:rPr>
        <w:t>связаны</w:t>
      </w:r>
      <w:r w:rsidRPr="00E72FFB">
        <w:rPr>
          <w:rFonts w:ascii="Times New Roman" w:hAnsi="Times New Roman" w:cs="Times New Roman"/>
          <w:sz w:val="24"/>
          <w:szCs w:val="24"/>
        </w:rPr>
        <w:t xml:space="preserve"> с оценкой внутренней среды, </w:t>
      </w:r>
      <w:r w:rsidR="00C65AFF" w:rsidRPr="00E72FFB">
        <w:rPr>
          <w:rFonts w:ascii="Times New Roman" w:hAnsi="Times New Roman" w:cs="Times New Roman"/>
          <w:sz w:val="24"/>
          <w:szCs w:val="24"/>
        </w:rPr>
        <w:t>а</w:t>
      </w:r>
      <w:r w:rsidRPr="00E72FFB">
        <w:rPr>
          <w:rFonts w:ascii="Times New Roman" w:hAnsi="Times New Roman" w:cs="Times New Roman"/>
          <w:sz w:val="24"/>
          <w:szCs w:val="24"/>
        </w:rPr>
        <w:t xml:space="preserve"> возможности и угрозы </w:t>
      </w:r>
      <w:r w:rsidR="00C65AFF" w:rsidRPr="00E72FFB">
        <w:rPr>
          <w:rFonts w:ascii="Times New Roman" w:hAnsi="Times New Roman" w:cs="Times New Roman"/>
          <w:sz w:val="24"/>
          <w:szCs w:val="24"/>
        </w:rPr>
        <w:t>используются при оценке внешней среды ор</w:t>
      </w:r>
      <w:r w:rsidR="009C5803" w:rsidRPr="00E72FFB">
        <w:rPr>
          <w:rFonts w:ascii="Times New Roman" w:hAnsi="Times New Roman" w:cs="Times New Roman"/>
          <w:sz w:val="24"/>
          <w:szCs w:val="24"/>
        </w:rPr>
        <w:t>га</w:t>
      </w:r>
      <w:r w:rsidR="00C65AFF" w:rsidRPr="00E72FFB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E72FFB">
        <w:rPr>
          <w:rFonts w:ascii="Times New Roman" w:hAnsi="Times New Roman" w:cs="Times New Roman"/>
          <w:sz w:val="24"/>
          <w:szCs w:val="24"/>
        </w:rPr>
        <w:t xml:space="preserve"> [2]. SWOT-анализ позволяет выделить наиболее важные факторы, которые могут повлиять на будущее организации и являются факторами</w:t>
      </w:r>
      <w:r w:rsidR="009C5803" w:rsidRPr="00E72FFB">
        <w:rPr>
          <w:rFonts w:ascii="Times New Roman" w:hAnsi="Times New Roman" w:cs="Times New Roman"/>
          <w:sz w:val="24"/>
          <w:szCs w:val="24"/>
        </w:rPr>
        <w:t xml:space="preserve"> успешного стратегического развития</w:t>
      </w:r>
      <w:r w:rsidRPr="00E72FFB">
        <w:rPr>
          <w:rFonts w:ascii="Times New Roman" w:hAnsi="Times New Roman" w:cs="Times New Roman"/>
          <w:sz w:val="24"/>
          <w:szCs w:val="24"/>
        </w:rPr>
        <w:t>. Внешняя и внутренняя среда состоит из переменных, которые находятся вне и внутри организации, соответственно.</w:t>
      </w:r>
    </w:p>
    <w:p w:rsidR="00B724C3" w:rsidRPr="00E72FFB" w:rsidRDefault="00CA0F52" w:rsidP="00AC6D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FB">
        <w:rPr>
          <w:rFonts w:ascii="Times New Roman" w:hAnsi="Times New Roman" w:cs="Times New Roman"/>
          <w:sz w:val="24"/>
          <w:szCs w:val="24"/>
        </w:rPr>
        <w:t xml:space="preserve">В настоящее время разработан </w:t>
      </w:r>
      <w:r w:rsidR="00B724C3" w:rsidRPr="00E72FFB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  <w:r w:rsidRPr="00E72FFB">
        <w:rPr>
          <w:rFonts w:ascii="Times New Roman" w:hAnsi="Times New Roman" w:cs="Times New Roman"/>
          <w:sz w:val="24"/>
          <w:szCs w:val="24"/>
        </w:rPr>
        <w:t>подход</w:t>
      </w:r>
      <w:r w:rsidR="00B724C3" w:rsidRPr="00E72FFB">
        <w:rPr>
          <w:rFonts w:ascii="Times New Roman" w:hAnsi="Times New Roman" w:cs="Times New Roman"/>
          <w:sz w:val="24"/>
          <w:szCs w:val="24"/>
        </w:rPr>
        <w:t xml:space="preserve"> устранения слабых мест количественного измерения и </w:t>
      </w:r>
      <w:r w:rsidRPr="00E72FFB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="00B724C3" w:rsidRPr="00E72FFB">
        <w:rPr>
          <w:rFonts w:ascii="Times New Roman" w:hAnsi="Times New Roman" w:cs="Times New Roman"/>
          <w:sz w:val="24"/>
          <w:szCs w:val="24"/>
        </w:rPr>
        <w:t>оценки SWOT-факторов [</w:t>
      </w:r>
      <w:r w:rsidR="009A66DC">
        <w:rPr>
          <w:rFonts w:ascii="Times New Roman" w:hAnsi="Times New Roman" w:cs="Times New Roman"/>
          <w:sz w:val="24"/>
          <w:szCs w:val="24"/>
        </w:rPr>
        <w:t>4</w:t>
      </w:r>
      <w:r w:rsidR="00B724C3" w:rsidRPr="00E72FFB">
        <w:rPr>
          <w:rFonts w:ascii="Times New Roman" w:hAnsi="Times New Roman" w:cs="Times New Roman"/>
          <w:sz w:val="24"/>
          <w:szCs w:val="24"/>
        </w:rPr>
        <w:t>]. Эта комбинация метода анализа иерархий в SWOT-анализе в последующих исследованиях упоминается как A'WOT [</w:t>
      </w:r>
      <w:r w:rsidR="009A66DC">
        <w:rPr>
          <w:rFonts w:ascii="Times New Roman" w:hAnsi="Times New Roman" w:cs="Times New Roman"/>
          <w:sz w:val="24"/>
          <w:szCs w:val="24"/>
        </w:rPr>
        <w:t>5</w:t>
      </w:r>
      <w:r w:rsidR="00B724C3" w:rsidRPr="00E72FFB">
        <w:rPr>
          <w:rFonts w:ascii="Times New Roman" w:hAnsi="Times New Roman" w:cs="Times New Roman"/>
          <w:sz w:val="24"/>
          <w:szCs w:val="24"/>
        </w:rPr>
        <w:t>]. Метод анализа иерархий устраняет некоторые недостатки, присущие  SWOT-анализу и позволяет выявить перспективы реализации каждой стратегической альтернативы в зависимости от влияния на них тех или иных факторов. МАИ дает возможность сравнить факторы между собой и оценить значимость каждого по – сравнению с другими [</w:t>
      </w:r>
      <w:r w:rsidR="009A66DC">
        <w:rPr>
          <w:rFonts w:ascii="Times New Roman" w:hAnsi="Times New Roman" w:cs="Times New Roman"/>
          <w:sz w:val="24"/>
          <w:szCs w:val="24"/>
        </w:rPr>
        <w:t>1</w:t>
      </w:r>
      <w:r w:rsidR="00B724C3" w:rsidRPr="00E72FF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724C3" w:rsidRPr="00E72FFB" w:rsidRDefault="00B724C3" w:rsidP="00AC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проблемы принятия решений в МАИ начинается с построения иерархической структуры, которая включает факторы, альтернативы и другие рассматриваемые критерии, влияющие на выбор. Эта структура отражает понимание проблемы лицом, принимающим решение. Каждый элемент иерархии может представлять различные аспекты решаемой задачи, 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причем во внимание могут быть приняты как материальные, так и нематериальные факторы, измеряемые количественные параметры и качественные характеристики, объективные данные и субъективные экспертные оценки.</w:t>
      </w:r>
    </w:p>
    <w:p w:rsidR="00E72FFB" w:rsidRPr="00E72FFB" w:rsidRDefault="00807F39" w:rsidP="00E7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рассмотрена </w:t>
      </w:r>
      <w:r w:rsidR="00E81F1C" w:rsidRPr="00E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Pr="00E7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1B01" w:rsidRPr="00E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иртуализации </w:t>
      </w:r>
      <w:r w:rsidRPr="00E72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</w:t>
      </w:r>
      <w:r w:rsidR="004C1B01" w:rsidRPr="00E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 образовательном учреждении высшего образования. В рамках факторного анализа выделены наиболее важные факторы, влияющие на функционирование и развитие системы. К ним относятся</w:t>
      </w:r>
      <w:r w:rsidR="00AC6D07" w:rsidRPr="00E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</w:t>
      </w:r>
      <w:r w:rsidR="002524A2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срок окупаемости инвестиций, з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начительные первоначальные затраты</w:t>
      </w:r>
      <w:r w:rsidR="002524A2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затрат</w:t>
      </w:r>
      <w:r w:rsidR="002524A2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заработную плату персонала, обслуживающего инфор</w:t>
      </w:r>
      <w:r w:rsidR="002524A2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мационную инфраструктуру ВГТУ, н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еобходимость обучения персона</w:t>
      </w:r>
      <w:r w:rsidR="002524A2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ла, с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окращение времени развертывания рабочего места, сокращение времени простоя оборудования, упрощение процессо</w:t>
      </w:r>
      <w:r w:rsidR="002524A2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в развертывание и обслуживания, д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остаточно высокая стоимость дополнительного оборудования, </w:t>
      </w:r>
      <w:r w:rsidR="0089055F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лучшение образовательной среды, в т. ч. возможность использовани</w:t>
      </w:r>
      <w:r w:rsidR="0089055F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я BYOD (bring your own device), у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сложнение диагностики сетевых неполадок,</w:t>
      </w:r>
      <w:r w:rsidR="0089055F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овышение информационной безопасности организации из единого центра, </w:t>
      </w:r>
      <w:r w:rsidR="00DC44EF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еобходимость повышения заработной платы работникам ИТ-подразделения, в связи с </w:t>
      </w:r>
      <w:r w:rsidR="002524A2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ростом их общей квалификации</w:t>
      </w:r>
      <w:r w:rsidR="00DC44EF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, у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прощение управления информационной инфраструк</w:t>
      </w:r>
      <w:r w:rsidR="00DC44EF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турой Вуза, п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оявление текущих затрат на лицензии</w:t>
      </w:r>
      <w:r w:rsidR="00DC44EF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, э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кономия капитальных вложений, связа</w:t>
      </w:r>
      <w:r w:rsidR="00DC44EF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нных с обновлением оборудования, н</w:t>
      </w:r>
      <w:r w:rsidR="004C1B01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изкая скорость работы графиче</w:t>
      </w:r>
      <w:r w:rsidR="002524A2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ских приложе</w:t>
      </w:r>
      <w:r w:rsidR="002F063E"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>ний и т.д.</w:t>
      </w:r>
    </w:p>
    <w:p w:rsidR="002827A9" w:rsidRPr="00E72FFB" w:rsidRDefault="002827A9" w:rsidP="00E7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Далее данные факторы, в рамках </w:t>
      </w:r>
      <w:r w:rsidRPr="00E72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WOT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анализа выделены в качестве сильных, слабых сторон, угроз и возможностей системы виртуализации рабочих стол</w:t>
      </w:r>
      <w:r w:rsidR="007F2364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Да</w:t>
      </w:r>
      <w:r w:rsidR="006239B2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был внедрен пилотный проект виртуализации рабочих мест в рамках одной аудитории.</w:t>
      </w:r>
      <w:r w:rsidR="007D35A7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внедрения пилотного п</w:t>
      </w:r>
      <w:r w:rsidR="007D35A7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роекта виртуализации были </w:t>
      </w:r>
      <w:r w:rsidR="00412B4C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некоторые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B4C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факторы, влияющие на систему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некоторые </w:t>
      </w:r>
      <w:r w:rsidR="00412B4C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били признаны неважными и удалены из анализа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37CA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факторы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сгруппированы согласно </w:t>
      </w:r>
      <w:r w:rsidRPr="00E72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WOT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B37CA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группам: слабые стороны и сильные стороны проекта, возможности и угрозы внедрения виртуализации рабочих мест (см. таблица 1).</w:t>
      </w:r>
    </w:p>
    <w:p w:rsidR="002827A9" w:rsidRPr="00E72FFB" w:rsidRDefault="002827A9" w:rsidP="002827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A9" w:rsidRPr="00E72FFB" w:rsidRDefault="002827A9" w:rsidP="00FB1E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r w:rsidR="000C4614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2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WOT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–анализ внедрения пилотного проекта виртуализации рабочих мест в деятельность организации</w:t>
      </w:r>
    </w:p>
    <w:tbl>
      <w:tblPr>
        <w:tblW w:w="9654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4835"/>
        <w:gridCol w:w="4819"/>
      </w:tblGrid>
      <w:tr w:rsidR="002827A9" w:rsidRPr="00E72FFB" w:rsidTr="00FB37CA">
        <w:trPr>
          <w:trHeight w:val="36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S -сильные стороны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W - слабые стороны</w:t>
            </w:r>
          </w:p>
        </w:tc>
      </w:tr>
      <w:tr w:rsidR="002827A9" w:rsidRPr="00E72FFB" w:rsidTr="00FB37C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Сокращение срока окупаемости инвестиций.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1.Значительные первоначальные затраты.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</w:p>
        </w:tc>
      </w:tr>
      <w:tr w:rsidR="002827A9" w:rsidRPr="00E72FFB" w:rsidTr="00FB37CA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Сокращение затрат на заработную плату персонала, обслуживающего информационную инфраструктуру ВГТУ.-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Необходимость обучения персонала.</w:t>
            </w: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eastAsia="ru-RU"/>
                </w:rPr>
                <m:t>w</m:t>
              </m:r>
            </m:oMath>
          </w:p>
        </w:tc>
      </w:tr>
      <w:tr w:rsidR="002827A9" w:rsidRPr="00E72FFB" w:rsidTr="00FB37CA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Сокращение времени развертывания рабочего места, сокращение времени простоя оборудования, упрощение процессов развертывание и обслуживания.-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Достаточно высокая стоимость дополнительного оборудования, в связи с увеличением нагрузки на сеть.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oMath>
          </w:p>
        </w:tc>
      </w:tr>
      <w:tr w:rsidR="002827A9" w:rsidRPr="00E72FFB" w:rsidTr="00FB37CA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Улучшение образовательной среды, в т. ч. возможность использования BYOD (bring your own device).-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Усложнение диагностики сетевых неполадок, особенно при использовании графических приложений.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sub>
              </m:sSub>
            </m:oMath>
          </w:p>
        </w:tc>
      </w:tr>
      <w:tr w:rsidR="002827A9" w:rsidRPr="00E72FFB" w:rsidTr="00FB37CA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Повышение информационной безопасности организации из единого центра, в т.ч. обеспечение сохранности персональных данных.-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Необходимость повышения заработной платы работникам ИТ-подразделения, в связи с ростом их общей квалификации.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sub>
              </m:sSub>
            </m:oMath>
          </w:p>
        </w:tc>
      </w:tr>
      <w:tr w:rsidR="002827A9" w:rsidRPr="00E72FFB" w:rsidTr="00FB37CA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 Упрощение управления информационной инфраструктурой Вуза. -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Появление текущих затрат на лицензии.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sub>
              </m:sSub>
            </m:oMath>
          </w:p>
        </w:tc>
      </w:tr>
      <w:tr w:rsidR="002827A9" w:rsidRPr="00E72FFB" w:rsidTr="00FB37CA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 Экономия капитальных вложений, связанных с обновлением оборудования. -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 Низкая скорость работы графических приложений. -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sub>
              </m:sSub>
            </m:oMath>
          </w:p>
        </w:tc>
      </w:tr>
      <w:tr w:rsidR="002827A9" w:rsidRPr="00E72FFB" w:rsidTr="00FB37CA">
        <w:trPr>
          <w:trHeight w:val="36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O - возможности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T - угрозы</w:t>
            </w:r>
          </w:p>
        </w:tc>
      </w:tr>
      <w:tr w:rsidR="002827A9" w:rsidRPr="00E72FFB" w:rsidTr="00FB37CA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 Благоприятное отношение администрации к централизации информационной инфраструктуры.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o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Неблагоприятное отношение администрации к централизации информационной инфраструктуры.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</w:p>
        </w:tc>
      </w:tr>
      <w:tr w:rsidR="002827A9" w:rsidRPr="00E72FFB" w:rsidTr="00FB37CA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Улучшение взаимодействия администрации и работников информационного подразделения. -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o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Зависимость от технологии,  в том числе от поставщика виртуализации.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</w:p>
        </w:tc>
      </w:tr>
      <w:tr w:rsidR="002827A9" w:rsidRPr="00E72FFB" w:rsidTr="00FB37CA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Реинжиниринг бизнес-процессов в высшем учебном заведении.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o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Отсутствие средств для первоначальной закупки необходимого оборудования.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oMath>
          </w:p>
        </w:tc>
      </w:tr>
      <w:tr w:rsidR="002827A9" w:rsidRPr="00E72FFB" w:rsidTr="00FB37CA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Предоставление скидок поставщиками виртуализации для учебных заведений.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o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sub>
              </m:sSub>
            </m:oMath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27A9" w:rsidRPr="00E72FFB" w:rsidRDefault="002827A9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Возможности увольнений обученных сотрудников и увеличение текучести кадров в информационном подразделении, в связи с повышением квалификации сотрудников. -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sub>
              </m:sSub>
            </m:oMath>
          </w:p>
        </w:tc>
      </w:tr>
    </w:tbl>
    <w:p w:rsidR="00FB37CA" w:rsidRPr="00E72FFB" w:rsidRDefault="00FB37CA" w:rsidP="00E72F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 нами предложены стратегические альтернативы, касающиеся дальнейшего внедрения виртуализации рабочих столов в деятельность организации (см. таблицу 2). Выбор конечной стратегии осуществляется с помощью метода анализа иерархий.   </w:t>
      </w:r>
    </w:p>
    <w:p w:rsidR="00FB37CA" w:rsidRPr="00E72FFB" w:rsidRDefault="00FB37CA" w:rsidP="00E72F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2</w:t>
      </w:r>
      <w:r w:rsidR="000C4614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альтернативы 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внедрения пилотного проекта виртуализации рабочих мест в деятельность организации</w:t>
      </w:r>
    </w:p>
    <w:tbl>
      <w:tblPr>
        <w:tblW w:w="937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291"/>
        <w:gridCol w:w="8080"/>
      </w:tblGrid>
      <w:tr w:rsidR="00FB37CA" w:rsidRPr="00E72FFB" w:rsidTr="00FB37CA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37CA" w:rsidRPr="00E72FFB" w:rsidRDefault="00FB37CA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37CA" w:rsidRPr="00E72FFB" w:rsidRDefault="00FB37CA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Внедрять виртуальные рабочие места в рамках всего учебного процесса организации.</w:t>
            </w:r>
          </w:p>
        </w:tc>
      </w:tr>
      <w:tr w:rsidR="00FB37CA" w:rsidRPr="00E72FFB" w:rsidTr="00FB37CA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37CA" w:rsidRPr="00E72FFB" w:rsidRDefault="00FB37CA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WO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37CA" w:rsidRPr="00E72FFB" w:rsidRDefault="00FB37CA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Внедрять виртуальные рабочие места только на старых компьютерах, подлежащих списанию. Снова задействовать их в учебном процессе организации.</w:t>
            </w:r>
          </w:p>
        </w:tc>
      </w:tr>
      <w:tr w:rsidR="00FB37CA" w:rsidRPr="00E72FFB" w:rsidTr="00FB37CA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37CA" w:rsidRPr="00E72FFB" w:rsidRDefault="00FB37CA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37CA" w:rsidRPr="00E72FFB" w:rsidRDefault="00FB37CA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Внедрять виртуальные рабочие места на компьютерах, где не требуется использования графических приложений, которые занимают значительный объем оперативной памяти и затрудняют использование виртуализации.</w:t>
            </w:r>
          </w:p>
        </w:tc>
      </w:tr>
      <w:tr w:rsidR="00FB37CA" w:rsidRPr="00E72FFB" w:rsidTr="00FB37CA">
        <w:trPr>
          <w:trHeight w:val="38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37CA" w:rsidRPr="00E72FFB" w:rsidRDefault="00FB37CA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37CA" w:rsidRPr="00E72FFB" w:rsidRDefault="00FB37CA" w:rsidP="00FB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внедрять виртуальные рабочие места больше, чем внедрено в рамках пилотного проекта, то есть оставить в одной выбранной аудитории в целях обучения студентов .</w:t>
            </w:r>
          </w:p>
        </w:tc>
      </w:tr>
    </w:tbl>
    <w:p w:rsidR="00FB37CA" w:rsidRPr="00E72FFB" w:rsidRDefault="00FB37CA" w:rsidP="00FB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CA" w:rsidRPr="00E72FFB" w:rsidRDefault="00FB37CA" w:rsidP="00FB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стратегии внедрения виртуализации рабочих столов в деятельность организации. Данный выбор осуществляется с помощью метода анализа иерархий. В его рамках используются экспертные оценки, которые обрабатываются согласно алгоритму МАИ. В качестве экспертов выбраны руководители и специалисты организации в области информационных технологий, а также пользователи виртуальной системы: преподаватели и студенты. Экспертные оценки получены с помощью анкетирования экспертов по следующим вопросам (краткое изложение).</w:t>
      </w:r>
    </w:p>
    <w:p w:rsidR="00FB37CA" w:rsidRPr="00E72FFB" w:rsidRDefault="00FB37CA" w:rsidP="00F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значимость группы факторов при внедрении проекта виртуализации рабочих столов в учебную деятельность организации на основе практического использования существующего пилотного проекта виртуализации одной учебной аудитории.</w:t>
      </w:r>
    </w:p>
    <w:p w:rsidR="00FB37CA" w:rsidRPr="00E72FFB" w:rsidRDefault="00FB37CA" w:rsidP="00F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значимость группы сильных сторон проекта (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37CA" w:rsidRPr="00E72FFB" w:rsidRDefault="00FB37CA" w:rsidP="00F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значимость группы слабых сторон проекта (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37CA" w:rsidRPr="00E72FFB" w:rsidRDefault="00FB37CA" w:rsidP="00F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значимость группы возможностей проекта (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37CA" w:rsidRPr="00E72FFB" w:rsidRDefault="00FB37CA" w:rsidP="00F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значимость группы угроз проекта (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37CA" w:rsidRPr="00E72FFB" w:rsidRDefault="00FB37CA" w:rsidP="00E02B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происходит согласно методу анализа иерархий попарно, каждый фактор сравнивается с каждым. Опытным путем установлено, что экспертам затруднительно использовать шкалу</w:t>
      </w:r>
      <w:r w:rsidR="00E02BFC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Саати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</w:t>
      </w:r>
      <w:r w:rsidR="0084607B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</w:t>
      </w:r>
      <w:r w:rsidR="0084607B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к шкале, более понятной для экспертов (см. таблица </w:t>
      </w:r>
      <w:r w:rsidR="0084607B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B37CA" w:rsidRPr="00E72FFB" w:rsidRDefault="00FB37CA" w:rsidP="00E72F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84607B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C4614"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Шкала оценки групп 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SWOT</w:t>
      </w:r>
      <w:r w:rsidRPr="00E7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факторов согласно методу анализа иерархий, приведенная к виду, удобному для анкетирования экспертов</w:t>
      </w:r>
    </w:p>
    <w:p w:rsidR="00FB37CA" w:rsidRPr="00E72FFB" w:rsidRDefault="00FB37CA" w:rsidP="00FB37CA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"/>
        <w:tblpPr w:leftFromText="181" w:rightFromText="181" w:vertAnchor="text" w:horzAnchor="margin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48"/>
        <w:gridCol w:w="1946"/>
        <w:gridCol w:w="3050"/>
        <w:gridCol w:w="1982"/>
      </w:tblGrid>
      <w:tr w:rsidR="00FB37CA" w:rsidRPr="00E72FFB" w:rsidTr="00FB37CA">
        <w:trPr>
          <w:trHeight w:hRule="exact" w:val="63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Шкала, понятная пользователю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Шкала для расчётов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Лингвистическая интерпретация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ind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Сравнение со шкалой МАИ</w:t>
            </w:r>
          </w:p>
        </w:tc>
      </w:tr>
      <w:tr w:rsidR="00FB37CA" w:rsidRPr="00E72FFB" w:rsidTr="00FB37CA">
        <w:trPr>
          <w:trHeight w:hRule="exact" w:val="3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Чрезвычайно большая важность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7CA" w:rsidRPr="00E72FFB" w:rsidTr="00FB37CA">
        <w:trPr>
          <w:trHeight w:hRule="exact" w:val="2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Очень большая важность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7CA" w:rsidRPr="00E72FFB" w:rsidTr="00FB37CA">
        <w:trPr>
          <w:trHeight w:hRule="exact" w:val="2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Высокая важность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7CA" w:rsidRPr="00E72FFB" w:rsidTr="00FB37CA">
        <w:trPr>
          <w:trHeight w:hRule="exact" w:val="2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Средняя высокая важность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7CA" w:rsidRPr="00E72FFB" w:rsidTr="00FB37CA">
        <w:trPr>
          <w:trHeight w:hRule="exact" w:val="2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Равная важность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7CA" w:rsidRPr="00E72FFB" w:rsidTr="00FB37CA">
        <w:trPr>
          <w:trHeight w:hRule="exact" w:val="2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Средняя низкая важность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B37CA" w:rsidRPr="00E72FFB" w:rsidTr="00FB37CA">
        <w:trPr>
          <w:trHeight w:hRule="exact" w:val="2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Низкая важность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FB37CA" w:rsidRPr="00E72FFB" w:rsidTr="00FB37CA">
        <w:trPr>
          <w:trHeight w:hRule="exact" w:val="2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Очень низкая важность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</w:tr>
      <w:tr w:rsidR="00FB37CA" w:rsidRPr="00E72FFB" w:rsidTr="00FB37CA">
        <w:trPr>
          <w:trHeight w:hRule="exact" w:val="2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Чрезвычайно низкая важность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CA" w:rsidRPr="00E72FFB" w:rsidRDefault="00FB37CA" w:rsidP="00FB37CA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FB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</w:tbl>
    <w:p w:rsidR="00FB37CA" w:rsidRPr="00E72FFB" w:rsidRDefault="00FB37CA" w:rsidP="00FB37CA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7CA" w:rsidRPr="00D65032" w:rsidRDefault="008D27D4" w:rsidP="00D6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с использованием метода анализа иерархий </w:t>
      </w:r>
      <w:r w:rsidR="00AD44EB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составлено приложение для экспертного опроса. </w:t>
      </w:r>
    </w:p>
    <w:p w:rsidR="00EB4526" w:rsidRPr="00D65032" w:rsidRDefault="00EB4526" w:rsidP="00D65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7222C"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</w:t>
      </w:r>
      <w:r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два условно независимых модуля.</w:t>
      </w:r>
    </w:p>
    <w:p w:rsidR="00EB4526" w:rsidRPr="00D65032" w:rsidRDefault="00EB4526" w:rsidP="00D65032">
      <w:pPr>
        <w:pStyle w:val="a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7222C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 для опроса эксперта включающий в себя попарное сравнение </w:t>
      </w:r>
      <w:r w:rsidR="00E7222C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SWOT</w:t>
      </w:r>
      <w:r w:rsidR="00E7222C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-факторов внутри каждой из </w:t>
      </w:r>
      <w:r w:rsidR="00E7222C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SWOT</w:t>
      </w:r>
      <w:r w:rsidR="00E7222C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 в соответствии с методом анализа иерархии и оценку влияния каждого из факторов на выбор той или иной альтернативы по внедрению виртуал</w:t>
      </w:r>
      <w:r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внедрения рабочих столов.</w:t>
      </w:r>
    </w:p>
    <w:p w:rsidR="00E7222C" w:rsidRPr="00D65032" w:rsidRDefault="00EB4526" w:rsidP="00D65032">
      <w:pPr>
        <w:pStyle w:val="a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7222C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 анализа результатов опроса экспертов, позволяющий рассчитать условные веса той или иной альтернативы, посмотреть имеющиеся </w:t>
      </w:r>
      <w:r w:rsidR="00E7222C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SWOT</w:t>
      </w:r>
      <w:r w:rsidR="00E7222C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-факторы и альтернативы. А также включить или исключить какого-либо эксперта из анализа. Существует возможность просмотра информации об эксперте.</w:t>
      </w:r>
    </w:p>
    <w:p w:rsidR="00D65032" w:rsidRPr="00D65032" w:rsidRDefault="00D65032" w:rsidP="00D65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Приветственное окно при входе в модуль представлено на рисунке 1.</w:t>
      </w:r>
    </w:p>
    <w:p w:rsidR="00D65032" w:rsidRPr="00D65032" w:rsidRDefault="00D65032" w:rsidP="00D650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032" w:rsidRDefault="003E08B4" w:rsidP="00E722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0" cy="3419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2C" w:rsidRPr="00E7222C" w:rsidRDefault="00D65032" w:rsidP="00D65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7222C"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исунок </w:t>
      </w:r>
      <w:r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222C"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Приветственное окно при входе в модуль экспертной оценки</w:t>
      </w:r>
    </w:p>
    <w:p w:rsidR="00E7222C" w:rsidRPr="00E7222C" w:rsidRDefault="00E7222C" w:rsidP="00D65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входа в модуль мы попадаем в окно предварительной регистрации эксперта</w:t>
      </w:r>
      <w:r w:rsidR="00D65032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представленное на рисунке 2. </w:t>
      </w:r>
      <w:r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222C" w:rsidRDefault="00E7222C" w:rsidP="00E722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noProof/>
          <w:color w:val="000000"/>
          <w:lang w:eastAsia="ru-RU"/>
        </w:rPr>
      </w:pPr>
    </w:p>
    <w:p w:rsidR="00D65032" w:rsidRDefault="005D0A99" w:rsidP="00E722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noProof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>
            <wp:extent cx="5895975" cy="3781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2C" w:rsidRPr="00E7222C" w:rsidRDefault="00E7222C" w:rsidP="00E722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</w:t>
      </w:r>
      <w:r w:rsidR="00D65032" w:rsidRPr="00D6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Форма регистрации эксперта</w:t>
      </w:r>
    </w:p>
    <w:p w:rsidR="00E7222C" w:rsidRPr="00E7222C" w:rsidRDefault="00E7222C" w:rsidP="009E3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регистрации эксперт попадает в окно для попарного сравнения </w:t>
      </w:r>
      <w:r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SWOT</w:t>
      </w:r>
      <w:r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-фактора внутри каждой категории. При попадании в данное окно, ему предоставляется возможность ознакомиться со шкалой важности. Также имеются четыре кнопки с группами факторов. При нажатии одной из них, мы попадаем в форму попарного сравнения. </w:t>
      </w:r>
    </w:p>
    <w:p w:rsidR="00E7222C" w:rsidRPr="00E7222C" w:rsidRDefault="00E7222C" w:rsidP="00E722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F7A" w:rsidRDefault="00315F7A" w:rsidP="00E722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86450" cy="3676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2C" w:rsidRPr="00E7222C" w:rsidRDefault="00E7222C" w:rsidP="00E722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</w:t>
      </w:r>
      <w:r w:rsidR="00D65032" w:rsidRPr="00315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7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Шкала важности</w:t>
      </w:r>
    </w:p>
    <w:p w:rsidR="00FB37CA" w:rsidRPr="00537442" w:rsidRDefault="00FB37CA" w:rsidP="0053744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проведенного исследования были проанкетировано 50 экспертов</w:t>
      </w:r>
      <w:r w:rsidR="003B40ED"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выявлено, что целесообразно выбирать стратегию ST</w:t>
      </w:r>
      <w:r w:rsidR="00101B02"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внедрять виртуальные рабочие места на компьютерах, где не требуется использования графических приложений, которые занимают значительный объем оперативной памяти и затрудняют использование виртуализации</w:t>
      </w:r>
      <w:r w:rsidR="003B40ED"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1B02"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по которой равен 0,398. Она набрала наибольшее количество баллов, </w:t>
      </w:r>
      <w:r w:rsidR="003B40ED"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 наибольшее одобрение экспертов. Реализация данной стратегии позволит достичь следующих результат</w:t>
      </w:r>
      <w:r w:rsidR="00101B02"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ов. </w:t>
      </w: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анализа иерархий позволяет выбрать дальнейшую стратегию внедрения виртуализации рабочих мест в учебных аудиториях </w:t>
      </w:r>
      <w:r w:rsidRPr="0053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и завершить данный проект.        </w:t>
      </w:r>
    </w:p>
    <w:p w:rsidR="004C1B01" w:rsidRPr="00C20A83" w:rsidRDefault="004C1B01" w:rsidP="0053744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97A" w:rsidRPr="006D7F5D" w:rsidRDefault="0042097A" w:rsidP="004209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152F2B" w:rsidRPr="00537442" w:rsidRDefault="00152F2B" w:rsidP="00537442">
      <w:pPr>
        <w:pStyle w:val="a9"/>
        <w:tabs>
          <w:tab w:val="left" w:pos="993"/>
        </w:tabs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A83" w:rsidRPr="00537442" w:rsidRDefault="00C20A83" w:rsidP="00537442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Маковий К.А., Ермаков С.А., Хицкова Ю.В. Использование технологии AHP в процессе внедрения VDI Теория и техника радиосвязи. 2016. № 1. С. 107-111</w:t>
      </w:r>
    </w:p>
    <w:p w:rsidR="006F470E" w:rsidRPr="00537442" w:rsidRDefault="006F470E" w:rsidP="00537442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Проскурин Д.К. Маковий К.А. Задача выбора серверных ресурсов для внедрения инфраструктуры виртуальных рабочих столов // Вестник Воронежского технического университета . - 2017.- Т.13. -  №4. -  с. 26-32.</w:t>
      </w:r>
    </w:p>
    <w:p w:rsidR="00C20A83" w:rsidRPr="00537442" w:rsidRDefault="00855704" w:rsidP="00537442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Саати Т. Принятие решений. Метод анализа иерархий. - М.: Радио и связь, 1993. </w:t>
      </w:r>
      <w:r w:rsidR="00537442"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</w:t>
      </w:r>
      <w:r w:rsidR="00537442"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A83" w:rsidRPr="00537442" w:rsidRDefault="00C20A83" w:rsidP="00537442">
      <w:pPr>
        <w:pStyle w:val="a9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Utilizing the analytic hierarchy process (AHP) in SWOT analysis-a hybrid method and its application to a forest-certi</w:t>
      </w: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ﬁ</w:t>
      </w:r>
      <w:r w:rsidRPr="00C21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cation case / M. Kurttila [</w:t>
      </w: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21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C21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.] // Forest Policy and Economics.- </w:t>
      </w: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2000.- № 1. С. 41–52.</w:t>
      </w:r>
    </w:p>
    <w:p w:rsidR="00C20A83" w:rsidRPr="00537442" w:rsidRDefault="00C20A83" w:rsidP="00537442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Sevkli M. et al. Development of a fuzzy ANP based SWOT analysis for the airline industry in Turkey //Expert systems with Applications. – 2012. – </w:t>
      </w: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21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39. – №. </w:t>
      </w:r>
      <w:r w:rsidRPr="0053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– С. 14-24.</w:t>
      </w:r>
    </w:p>
    <w:p w:rsidR="00152F2B" w:rsidRDefault="00152F2B" w:rsidP="00C20A83">
      <w:pPr>
        <w:spacing w:after="0" w:line="240" w:lineRule="auto"/>
        <w:ind w:firstLine="709"/>
        <w:jc w:val="both"/>
      </w:pPr>
    </w:p>
    <w:p w:rsidR="00E35DCE" w:rsidRPr="00265192" w:rsidRDefault="00E35DCE" w:rsidP="006D7F5D">
      <w:pPr>
        <w:overflowPunct w:val="0"/>
        <w:autoSpaceDE w:val="0"/>
        <w:autoSpaceDN w:val="0"/>
        <w:adjustRightInd w:val="0"/>
        <w:spacing w:after="0" w:line="240" w:lineRule="auto"/>
        <w:ind w:right="-101" w:firstLine="25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51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Маковий Катерина Александровна</w:t>
      </w:r>
    </w:p>
    <w:p w:rsidR="00E35DCE" w:rsidRPr="00265192" w:rsidRDefault="00E35DCE" w:rsidP="00E35DCE">
      <w:pPr>
        <w:overflowPunct w:val="0"/>
        <w:autoSpaceDE w:val="0"/>
        <w:autoSpaceDN w:val="0"/>
        <w:adjustRightInd w:val="0"/>
        <w:spacing w:after="0" w:line="240" w:lineRule="auto"/>
        <w:ind w:right="-101" w:firstLine="25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19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Воронежский государственный технический университет, г. Воронеж</w:t>
      </w:r>
    </w:p>
    <w:p w:rsidR="00E35DCE" w:rsidRPr="00265192" w:rsidRDefault="00E35DCE" w:rsidP="00E35DCE">
      <w:pPr>
        <w:overflowPunct w:val="0"/>
        <w:autoSpaceDE w:val="0"/>
        <w:autoSpaceDN w:val="0"/>
        <w:adjustRightInd w:val="0"/>
        <w:spacing w:after="0" w:line="240" w:lineRule="auto"/>
        <w:ind w:right="-101" w:firstLine="25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1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преподаватель кафедры «Информационных технологий и автоматизированного проектирования в строительстве»</w:t>
      </w:r>
    </w:p>
    <w:p w:rsidR="00E35DCE" w:rsidRPr="00C2181E" w:rsidRDefault="00E35DCE" w:rsidP="00E35DCE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auto"/>
        <w:ind w:right="-101" w:firstLine="25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81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+7(903) 854-00-50</w:t>
      </w:r>
    </w:p>
    <w:p w:rsidR="00E35DCE" w:rsidRPr="00C2181E" w:rsidRDefault="00E35DCE" w:rsidP="00E35DCE">
      <w:pPr>
        <w:rPr>
          <w:sz w:val="20"/>
          <w:szCs w:val="20"/>
        </w:rPr>
      </w:pPr>
      <w:r w:rsidRPr="002651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2181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651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21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0F0B68" w:rsidRPr="000F0B68">
        <w:rPr>
          <w:rFonts w:ascii="Times New Roman" w:eastAsia="Times New Roman" w:hAnsi="Times New Roman" w:cs="Times New Roman"/>
          <w:sz w:val="20"/>
          <w:szCs w:val="20"/>
          <w:lang w:eastAsia="ru-RU"/>
        </w:rPr>
        <w:t>makkatya@mail.ru</w:t>
      </w:r>
    </w:p>
    <w:p w:rsidR="00E35DCE" w:rsidRPr="00C2181E" w:rsidRDefault="00E35DCE" w:rsidP="006D7F5D">
      <w:pPr>
        <w:overflowPunct w:val="0"/>
        <w:autoSpaceDE w:val="0"/>
        <w:autoSpaceDN w:val="0"/>
        <w:adjustRightInd w:val="0"/>
        <w:spacing w:after="0" w:line="240" w:lineRule="auto"/>
        <w:ind w:right="-101" w:firstLine="25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7F5D" w:rsidRPr="00265192" w:rsidRDefault="006D7F5D" w:rsidP="006D7F5D">
      <w:pPr>
        <w:overflowPunct w:val="0"/>
        <w:autoSpaceDE w:val="0"/>
        <w:autoSpaceDN w:val="0"/>
        <w:adjustRightInd w:val="0"/>
        <w:spacing w:after="0" w:line="240" w:lineRule="auto"/>
        <w:ind w:right="-101" w:firstLine="25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51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Хицкова Юлия Владимировна</w:t>
      </w:r>
    </w:p>
    <w:p w:rsidR="006D7F5D" w:rsidRPr="00265192" w:rsidRDefault="006D7F5D" w:rsidP="006D7F5D">
      <w:pPr>
        <w:overflowPunct w:val="0"/>
        <w:autoSpaceDE w:val="0"/>
        <w:autoSpaceDN w:val="0"/>
        <w:adjustRightInd w:val="0"/>
        <w:spacing w:after="0" w:line="240" w:lineRule="auto"/>
        <w:ind w:right="-101" w:firstLine="25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19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Воронежский государственный технический университет, г. Воронеж</w:t>
      </w:r>
    </w:p>
    <w:p w:rsidR="006D7F5D" w:rsidRPr="00265192" w:rsidRDefault="006D7F5D" w:rsidP="006D7F5D">
      <w:pPr>
        <w:overflowPunct w:val="0"/>
        <w:autoSpaceDE w:val="0"/>
        <w:autoSpaceDN w:val="0"/>
        <w:adjustRightInd w:val="0"/>
        <w:spacing w:after="0" w:line="240" w:lineRule="auto"/>
        <w:ind w:right="-101" w:firstLine="25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192">
        <w:rPr>
          <w:rFonts w:ascii="Times New Roman" w:eastAsia="Times New Roman" w:hAnsi="Times New Roman" w:cs="Times New Roman"/>
          <w:sz w:val="20"/>
          <w:szCs w:val="20"/>
          <w:lang w:eastAsia="ru-RU"/>
        </w:rPr>
        <w:t>К.э.н., доцент кафедры «Информационных технологий и автоматизированного проектирования в строительстве»</w:t>
      </w:r>
    </w:p>
    <w:p w:rsidR="006D7F5D" w:rsidRPr="00265192" w:rsidRDefault="006D7F5D" w:rsidP="006D7F5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auto"/>
        <w:ind w:right="-101" w:firstLine="25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651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Тел.: +7(920) 425-25-52</w:t>
      </w:r>
    </w:p>
    <w:p w:rsidR="00B777D2" w:rsidRPr="00265192" w:rsidRDefault="006D7F5D" w:rsidP="006D7F5D">
      <w:pPr>
        <w:rPr>
          <w:sz w:val="20"/>
          <w:szCs w:val="20"/>
          <w:lang w:val="en-US"/>
        </w:rPr>
      </w:pPr>
      <w:r w:rsidRPr="002651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r w:rsidR="00E35DCE" w:rsidRPr="002651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prosvetovau</w:t>
      </w:r>
      <w:r w:rsidRPr="002651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@</w:t>
      </w:r>
      <w:r w:rsidR="00E35DCE" w:rsidRPr="002651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list</w:t>
      </w:r>
      <w:r w:rsidRPr="002651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.ru</w:t>
      </w:r>
    </w:p>
    <w:sectPr w:rsidR="00B777D2" w:rsidRPr="00265192" w:rsidSect="000E12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3F" w:rsidRDefault="00B3363F" w:rsidP="00963638">
      <w:pPr>
        <w:spacing w:after="0" w:line="240" w:lineRule="auto"/>
      </w:pPr>
      <w:r>
        <w:separator/>
      </w:r>
    </w:p>
  </w:endnote>
  <w:endnote w:type="continuationSeparator" w:id="0">
    <w:p w:rsidR="00B3363F" w:rsidRDefault="00B3363F" w:rsidP="0096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3F" w:rsidRDefault="00B3363F" w:rsidP="00963638">
      <w:pPr>
        <w:spacing w:after="0" w:line="240" w:lineRule="auto"/>
      </w:pPr>
      <w:r>
        <w:separator/>
      </w:r>
    </w:p>
  </w:footnote>
  <w:footnote w:type="continuationSeparator" w:id="0">
    <w:p w:rsidR="00B3363F" w:rsidRDefault="00B3363F" w:rsidP="0096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C5"/>
    <w:multiLevelType w:val="hybridMultilevel"/>
    <w:tmpl w:val="D71E3FBE"/>
    <w:lvl w:ilvl="0" w:tplc="F4DAE1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B09E3"/>
    <w:multiLevelType w:val="hybridMultilevel"/>
    <w:tmpl w:val="11D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6CA"/>
    <w:multiLevelType w:val="multilevel"/>
    <w:tmpl w:val="D99E0456"/>
    <w:lvl w:ilvl="0">
      <w:start w:val="1"/>
      <w:numFmt w:val="decimal"/>
      <w:lvlText w:val="%1."/>
      <w:lvlJc w:val="left"/>
      <w:pPr>
        <w:ind w:left="1065" w:firstLine="705"/>
      </w:pPr>
    </w:lvl>
    <w:lvl w:ilvl="1">
      <w:start w:val="1"/>
      <w:numFmt w:val="decimal"/>
      <w:lvlText w:val="%1.%2"/>
      <w:lvlJc w:val="left"/>
      <w:pPr>
        <w:ind w:left="1485" w:firstLine="1065"/>
      </w:pPr>
    </w:lvl>
    <w:lvl w:ilvl="2">
      <w:start w:val="1"/>
      <w:numFmt w:val="decimal"/>
      <w:lvlText w:val="%1.%2.%3"/>
      <w:lvlJc w:val="left"/>
      <w:pPr>
        <w:ind w:left="2145" w:firstLine="1425"/>
      </w:pPr>
    </w:lvl>
    <w:lvl w:ilvl="3">
      <w:start w:val="1"/>
      <w:numFmt w:val="decimal"/>
      <w:lvlText w:val="%1.%2.%3.%4"/>
      <w:lvlJc w:val="left"/>
      <w:pPr>
        <w:ind w:left="2865" w:firstLine="1785"/>
      </w:pPr>
    </w:lvl>
    <w:lvl w:ilvl="4">
      <w:start w:val="1"/>
      <w:numFmt w:val="decimal"/>
      <w:lvlText w:val="%1.%2.%3.%4.%5"/>
      <w:lvlJc w:val="left"/>
      <w:pPr>
        <w:ind w:left="3225" w:firstLine="2145"/>
      </w:pPr>
    </w:lvl>
    <w:lvl w:ilvl="5">
      <w:start w:val="1"/>
      <w:numFmt w:val="decimal"/>
      <w:lvlText w:val="%1.%2.%3.%4.%5.%6"/>
      <w:lvlJc w:val="left"/>
      <w:pPr>
        <w:ind w:left="3945" w:firstLine="2505"/>
      </w:pPr>
    </w:lvl>
    <w:lvl w:ilvl="6">
      <w:start w:val="1"/>
      <w:numFmt w:val="decimal"/>
      <w:lvlText w:val="%1.%2.%3.%4.%5.%6.%7"/>
      <w:lvlJc w:val="left"/>
      <w:pPr>
        <w:ind w:left="4305" w:firstLine="2865"/>
      </w:pPr>
    </w:lvl>
    <w:lvl w:ilvl="7">
      <w:start w:val="1"/>
      <w:numFmt w:val="decimal"/>
      <w:lvlText w:val="%1.%2.%3.%4.%5.%6.%7.%8"/>
      <w:lvlJc w:val="left"/>
      <w:pPr>
        <w:ind w:left="5025" w:firstLine="3225"/>
      </w:pPr>
    </w:lvl>
    <w:lvl w:ilvl="8">
      <w:start w:val="1"/>
      <w:numFmt w:val="decimal"/>
      <w:lvlText w:val="%1.%2.%3.%4.%5.%6.%7.%8.%9"/>
      <w:lvlJc w:val="left"/>
      <w:pPr>
        <w:ind w:left="5745" w:firstLine="3585"/>
      </w:pPr>
    </w:lvl>
  </w:abstractNum>
  <w:abstractNum w:abstractNumId="3" w15:restartNumberingAfterBreak="0">
    <w:nsid w:val="233D262B"/>
    <w:multiLevelType w:val="hybridMultilevel"/>
    <w:tmpl w:val="2C6A2560"/>
    <w:lvl w:ilvl="0" w:tplc="37F07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8B0757"/>
    <w:multiLevelType w:val="multilevel"/>
    <w:tmpl w:val="BDDC27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2F77378F"/>
    <w:multiLevelType w:val="multilevel"/>
    <w:tmpl w:val="5C64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03059"/>
    <w:multiLevelType w:val="hybridMultilevel"/>
    <w:tmpl w:val="F410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70A2"/>
    <w:multiLevelType w:val="multilevel"/>
    <w:tmpl w:val="7A5CAE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3EEC1218"/>
    <w:multiLevelType w:val="multilevel"/>
    <w:tmpl w:val="D1123CB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BD15245"/>
    <w:multiLevelType w:val="hybridMultilevel"/>
    <w:tmpl w:val="CF347418"/>
    <w:lvl w:ilvl="0" w:tplc="78CCC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83F24"/>
    <w:multiLevelType w:val="hybridMultilevel"/>
    <w:tmpl w:val="56B8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96E55"/>
    <w:multiLevelType w:val="hybridMultilevel"/>
    <w:tmpl w:val="5ADAF742"/>
    <w:lvl w:ilvl="0" w:tplc="7F0447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A285BC9"/>
    <w:multiLevelType w:val="hybridMultilevel"/>
    <w:tmpl w:val="08CE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52764"/>
    <w:multiLevelType w:val="multilevel"/>
    <w:tmpl w:val="E33C21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50F0D71"/>
    <w:multiLevelType w:val="hybridMultilevel"/>
    <w:tmpl w:val="1D049E1C"/>
    <w:lvl w:ilvl="0" w:tplc="AFB08B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4D0DE7"/>
    <w:multiLevelType w:val="hybridMultilevel"/>
    <w:tmpl w:val="408E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5"/>
  </w:num>
  <w:num w:numId="6">
    <w:abstractNumId w:val="15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D2"/>
    <w:rsid w:val="000352F6"/>
    <w:rsid w:val="00047CE5"/>
    <w:rsid w:val="000C4614"/>
    <w:rsid w:val="000E12DD"/>
    <w:rsid w:val="000F0B68"/>
    <w:rsid w:val="00101B02"/>
    <w:rsid w:val="0012753D"/>
    <w:rsid w:val="00152F2B"/>
    <w:rsid w:val="00172A82"/>
    <w:rsid w:val="001978CF"/>
    <w:rsid w:val="001E3497"/>
    <w:rsid w:val="00233ECE"/>
    <w:rsid w:val="002524A2"/>
    <w:rsid w:val="00265192"/>
    <w:rsid w:val="002827A9"/>
    <w:rsid w:val="002F063E"/>
    <w:rsid w:val="00315F7A"/>
    <w:rsid w:val="003B40ED"/>
    <w:rsid w:val="003E08B4"/>
    <w:rsid w:val="00412B4C"/>
    <w:rsid w:val="0042097A"/>
    <w:rsid w:val="004C1B01"/>
    <w:rsid w:val="004E2F34"/>
    <w:rsid w:val="00501595"/>
    <w:rsid w:val="00513701"/>
    <w:rsid w:val="00537442"/>
    <w:rsid w:val="00577B10"/>
    <w:rsid w:val="00593D74"/>
    <w:rsid w:val="005A5035"/>
    <w:rsid w:val="005D0A99"/>
    <w:rsid w:val="005F21FD"/>
    <w:rsid w:val="006239B2"/>
    <w:rsid w:val="006415C0"/>
    <w:rsid w:val="006B6D2F"/>
    <w:rsid w:val="006D7F5D"/>
    <w:rsid w:val="006F470E"/>
    <w:rsid w:val="0077615E"/>
    <w:rsid w:val="007B1C96"/>
    <w:rsid w:val="007D35A7"/>
    <w:rsid w:val="007F2364"/>
    <w:rsid w:val="007F61D5"/>
    <w:rsid w:val="0080791E"/>
    <w:rsid w:val="00807F39"/>
    <w:rsid w:val="0081553E"/>
    <w:rsid w:val="0084607B"/>
    <w:rsid w:val="00855704"/>
    <w:rsid w:val="0089055F"/>
    <w:rsid w:val="008A2864"/>
    <w:rsid w:val="008D27D4"/>
    <w:rsid w:val="00963638"/>
    <w:rsid w:val="009A66DC"/>
    <w:rsid w:val="009C462D"/>
    <w:rsid w:val="009C5803"/>
    <w:rsid w:val="009E3223"/>
    <w:rsid w:val="00A42444"/>
    <w:rsid w:val="00A70E22"/>
    <w:rsid w:val="00AA438D"/>
    <w:rsid w:val="00AC6D07"/>
    <w:rsid w:val="00AD44EB"/>
    <w:rsid w:val="00AE5FD8"/>
    <w:rsid w:val="00B3363F"/>
    <w:rsid w:val="00B64E63"/>
    <w:rsid w:val="00B724C3"/>
    <w:rsid w:val="00B777D2"/>
    <w:rsid w:val="00B835F7"/>
    <w:rsid w:val="00BB05C5"/>
    <w:rsid w:val="00BB3447"/>
    <w:rsid w:val="00BC7401"/>
    <w:rsid w:val="00C20A83"/>
    <w:rsid w:val="00C2181E"/>
    <w:rsid w:val="00C65AFF"/>
    <w:rsid w:val="00C93378"/>
    <w:rsid w:val="00CA0F52"/>
    <w:rsid w:val="00D569D7"/>
    <w:rsid w:val="00D65032"/>
    <w:rsid w:val="00D73B14"/>
    <w:rsid w:val="00D7515C"/>
    <w:rsid w:val="00DC44EF"/>
    <w:rsid w:val="00DF52D6"/>
    <w:rsid w:val="00DF7C93"/>
    <w:rsid w:val="00E02BFC"/>
    <w:rsid w:val="00E30335"/>
    <w:rsid w:val="00E35DCE"/>
    <w:rsid w:val="00E7222C"/>
    <w:rsid w:val="00E72FFB"/>
    <w:rsid w:val="00E81F1C"/>
    <w:rsid w:val="00E83B3A"/>
    <w:rsid w:val="00EB43D2"/>
    <w:rsid w:val="00EB4526"/>
    <w:rsid w:val="00EF79B2"/>
    <w:rsid w:val="00F25599"/>
    <w:rsid w:val="00F257B7"/>
    <w:rsid w:val="00F771A6"/>
    <w:rsid w:val="00F84450"/>
    <w:rsid w:val="00FB1E2F"/>
    <w:rsid w:val="00FB37CA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7290"/>
  <w15:docId w15:val="{F37B0893-87B5-43E3-A3BF-5C8F7E2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B3447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6D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5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52F2B"/>
    <w:rPr>
      <w:b/>
      <w:bCs/>
    </w:rPr>
  </w:style>
  <w:style w:type="paragraph" w:styleId="a7">
    <w:name w:val="Normal (Web)"/>
    <w:basedOn w:val="a"/>
    <w:uiPriority w:val="99"/>
    <w:unhideWhenUsed/>
    <w:rsid w:val="0015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52F2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2F2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52F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2F2B"/>
    <w:pPr>
      <w:widowControl w:val="0"/>
      <w:spacing w:after="0" w:line="240" w:lineRule="auto"/>
    </w:pPr>
    <w:rPr>
      <w:lang w:val="en-US"/>
    </w:rPr>
  </w:style>
  <w:style w:type="character" w:styleId="aa">
    <w:name w:val="Placeholder Text"/>
    <w:basedOn w:val="a0"/>
    <w:uiPriority w:val="99"/>
    <w:semiHidden/>
    <w:rsid w:val="002524A2"/>
    <w:rPr>
      <w:color w:val="808080"/>
    </w:rPr>
  </w:style>
  <w:style w:type="paragraph" w:styleId="ab">
    <w:name w:val="header"/>
    <w:basedOn w:val="a"/>
    <w:link w:val="ac"/>
    <w:uiPriority w:val="99"/>
    <w:unhideWhenUsed/>
    <w:rsid w:val="0096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3638"/>
  </w:style>
  <w:style w:type="paragraph" w:styleId="ad">
    <w:name w:val="footer"/>
    <w:basedOn w:val="a"/>
    <w:link w:val="ae"/>
    <w:uiPriority w:val="99"/>
    <w:unhideWhenUsed/>
    <w:rsid w:val="0096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EF76-0189-4CBC-9102-8A11EE72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2018-08-14T14:54:00Z</dcterms:created>
  <dcterms:modified xsi:type="dcterms:W3CDTF">2018-08-14T18:17:00Z</dcterms:modified>
</cp:coreProperties>
</file>